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full-stack development, particularly in Java-based microservices architecture. Proven ability to leverage technologies such as Spring Boot and RESTful services to architect enterprise-level solutions. Adept at implementing CI/CD processes and performance tuning for high-traffic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Hibernate,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REST Assured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JProfiler, Apache JMeter,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Resiliency, Circuit Breaker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Static Code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Checkstyle, FindBugs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several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uplift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transition legacy applications, focusing on scalability and maintainability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middleware services through extensive performance engineering analysis, resulting in a 40% reduction in load times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production incidents to identify critical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middleware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prevention.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storage and retrieval efficiency, supporting high-volume transaction processing demands with a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and SAFe development practices within cross-functional teams, ensuring adherence to iterative milestones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through rigorous code reviews and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architecture decisions and API specifications that facilitated team collaboration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security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testing cycle time by 35% and increasing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 to optimize data retrieval processes, leading to a significant decrease in response times for end-user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microservices architecture and coding standards, contributing to a culture of excellence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scope and deliverables, ensuring alignment of technical capabilities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business operations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Assured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practices, ensuring reliability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streamlining workflows and improving delivery timelines on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streaming between services, improving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developing complex queries and ensuring optimal data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testing and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operating systems to ensure system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improved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to medium-sized projects that involved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create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application functionalities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API connectivity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proper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support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enhancing the overall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adhering to best practices in software development and fostering a culture of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development and production environments during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 proactive approach to learning new technologies and enhancing existing systems via continuous improvement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