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specializing in legacy modernization and Java development. Proven ability to architect solutions and optimize existing frameworks using cutting-edge technologies in enterprise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Hibernate,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Maven,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Legacy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Mainframe, Cobol, VB.NET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performance by 30% through optimized legacy code refactoring.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migration of an existing application from VB.NET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maintainability and reduced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continuous integration and deployment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data caching strategies, significantly increasing data retrieval speed by 25% in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legacy system assessments to identify modernization opportunities, collaborating with clients to develop tailored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for multiple applications integrating data from underlying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backends, achieving streamlined data exchange and improved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reliability and reducing bug rates by 40% before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smooth transitions of legacy systems to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client requirements and led architectural discussions, designing robust systems that meet enterprise standards and comply with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continuous improvement and knowledge sharing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monitoring and logging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into application performance and operational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functional and non-functional requirements, facilitating the successful delivery of software on time and within budget.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interactive web front-ends, improving user engagement and application responsiveness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migration scripts for legacy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during transitions and modernizations.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system reliability and scalability for clients in different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large-scale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migration project, transitioning a monolithic application to a distributed architecture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processing operations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optimizing queries to boost performance and reduce load times in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developed APIs delivering back-end services to facilitate communication between various applications, achieving seamless integration with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insights that led to a 20% decrease in response time and improved error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methodologies, participating in daily stand-ups and sprint reviews to ensure alignment between development and business goals, facilitating continuous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constructive feedback to ensure quality standards and adherence to team conventions are met consistently.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resulted in improved operational efficiency for internal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testing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code coverage and automated deep integration tests for critical business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analysis and maintenance of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focusing on bug fixes and performance tuning as part of an Agile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upgrade initiatives on legacy systems, incorporating newer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improved data handling and business logic.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