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extensive experience in building and maintaining AI orchestration frameworks, developing fullstack solutions with a cloud-native mindset, and integrating generative AI services to drive impactful business outcomes. Proven ability to lead projects and collaborate effectively across multidisciplinary teams, leveraging a modern tech stack including Python, React, and AWS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Astro,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Bedrock,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Anthropic APIs, RAG techniques, Vector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 orchestration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multi-agent frameworks to enhance system intelligence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generative AI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Anthropic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cloud-native architecture, optimizing resource allocation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fullstack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customer-facing applications, improving user experience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establishing RESTful APIs that integrate seamlessly with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task planning loops and execution pipelines,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(retrieval-augmented generation) frameworks to improve AI responsiveness to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cross-functional teams to embed AI-powered functionalities into existing products, driving innovation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microservices architecture in developing scalable backend systems, ensuring high availability and fault tolerance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observability best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insights into system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version control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code collaboration and project tracking for both local and remote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the latest AI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fostering a knowledge-sharing culture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optimized resource utilization, leading to a 25% reduction in operational costs and increased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software development lifecycle, from technical design to deployment and maintenance, ensuring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cutting-edge AI technologies and frameworks, actively contributing to product innovation and strategic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interface design based on user feedback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by 40% in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integrate machine learning models into production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and quality assurance, ensuring functionality across all platforms and devices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multi-tenant applications, enhancing data security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strategies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other services based on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ensure efficient sprint planning, execution, and retrospective reviews, fostering a high-performance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technical specifications, facilitating knowledge transfer and onboarding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identity and access management solutions with a focus on scalability and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streamline user experience across security platforms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CI/CD pipelines to automate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drastically reducing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and technical guides for internal tools and systems to enhance usability and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enhance productivity for developers,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components while ensuring data integrity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performance tuning of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technical specifications for project proposals, ensuring alignment with client needs and internal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learning and professional development to stay ahead of technology trends, often participating in workshops and industry conferences.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