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Engineer with a robust background in developing and optimizing complex web applications, emphasizing blockchain and AI technologies. Proficient in delivering high-quality software solutions, fostering collaboration across teams, and ensuring system performance, security, and scalability. Passionate about utilizing cutting-edge technologies to build impactful products in a remote-first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TypeScript,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EVM, Smart Contracts, Solidity, ethers.js, viem, Blockchain Interactions, Web3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SQL, REST API, GraphQL, Node.js,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JIRA, CI/CD,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New Relic,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Communication, Systems Thinking, Agile Development,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a blockchain-based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UI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maintainable and scalable code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EVM-compatible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blockchain interactions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user requirements into technical specifications, ensuring high alignment of project deliverables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design consistency and enhancing development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real-time agent monitoring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strategies and improving development cycles of the software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ensuring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blockchain technologies,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for API calls and data processing in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JWT authentication and API security protocols, safeguarding user data and ensuring reliable interactions with the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the software development process, enabling smooth transitions of the projects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 and iterative development cycles, aligning with Agile methodologies to promote team synergy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and refine project workflows, enhancing operational efficiency and responsiveness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multi-tenant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back-end services that catered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achieving significantly improved customer satisfaction metrics through cleaner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APIs into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security standards across all client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frameworks, ensuring cross-device compatibility and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improving system performance tracking and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software testing to enhance code quality and team understanding of new tools and technologies,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client applications while reducing operational costs and improving reliability.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quality through advanced testing methodologies, implementing automated testing frameworks that significantly reduced bugs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across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smoother rollouts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existing applications through database indexing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load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product development sprints, allowing for rapid feedback implementations and refinements based on user testing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middleware solutions that enhanced cross-system communication, ensuring greater interoperability in microservice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initiatives focusing on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knowledge base applicable to current and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embracing modern technologies and improving overall system agility and flexibility.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