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over 7 years of experience in developing, optimizing, and managing AWS Serverless Applications. Proficient in React (with TypeScript), Node.js (with TypeScript), and comprehensive AWS services, delivering scalable software solutions aligned with business objectives. Adept at working in Agile environments, driving production quality products while addressing complex integration challenges. Seeking to leverage expertise in a dynamic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HTML5, CSS3, Redux, Webpack, Jest,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Socket.IO, SQL, NoSQL,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AWS Lambda, API Gateway, S3, DynamoDB, AWS CloudFormation, AWS CodePipeline, AWS X-Ray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 Tools:</w:t>
      </w:r>
      <w:r w:rsidRPr="00C3688B">
        <w:rPr>
          <w:rFonts w:ascii="Arial" w:hAnsi="Arial" w:cs="Arial"/>
          <w:color w:val="424242" w:themeColor="text1" w:themeShade="BF"/>
          <w:sz w:val="20"/>
          <w:szCs w:val="20"/>
        </w:rPr>
        <w:t xml:space="preserve"> Git, JIRA, Postman, Docker, Kubernetes, Jenkins,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Agile Methodologies, Microservices Architecture, Software Design Patterns, Data Structures, Problem Solving, Cross-Functional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AWS Lambda functions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communication across microservices while adhering to serverless architecture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dashboard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visualizes user analytics in real-time, enhancing data interpretation for client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 endpoints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transactions,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ensuring compliance with data privacy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AWS services including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and performance, resulting in a 30% reduction in operational costs for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Agile teams to deliver high-impact software solutions on time,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code integration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the dashboard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minimizing defects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ensure responsive design principles were adhered to, applying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within React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junior engineers,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modular data-layer architecture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storage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X-Ray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scaling of applications based on client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error-handling framework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gracefully manage exceptions and enhance user experience during service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and stakeholders to gather requirements and present technical solutions, aligning project outcomes with their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client-side synchronization through </w:t>
      </w:r>
      <w:r w:rsidRPr="00C3688B">
        <w:rPr>
          <w:rFonts w:ascii="Arial" w:hAnsi="Arial" w:cs="Arial"/>
          <w:b/>
          <w:bCs/>
          <w:color w:val="424242" w:themeColor="text1" w:themeShade="BF"/>
          <w:sz w:val="20"/>
        </w:rPr>
        <w:t xml:space="preserve">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enhancing user experience for critical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SQL databases, particularly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dynamic reporting needs while applying performance tuning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storage of application assets, ensuring fast retrieval times through optimized caching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sprint retrospectives and stand-ups, improving team collaboration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 tests and client-side validation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exchanges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on-premise applications to serverless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fully aligning with the company's goals of modernization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 teams to enhance business processes via tailored software solutions, utilizing these software tools effectively across various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enhancement of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scalability and user engagement metrics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protocols in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privacy and corporate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standards of software quality through peer reviews and technical discussions, focusing on best practices in coding and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optimizations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improved performance and reliability in application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infrastructure management and operational uptime monitoring, contributing to incident resolution across multiple application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teams to develop accessible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WCAG 2.0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aesthetics and usability of enterprise applications while meeting client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continuous support and maintenance of legacy applications, gradually transforming functionalities into microservices for better system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