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Achieved extensive experience in developing scalable, maintainable web applications utilizing modern technologies, with a track record of engaging in collaborative, agile environments. Strengths in both front-end and back-end development, emphasizing security and performance in delivering seamless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React, Django, Node.js,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Webpack, Nginx,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Trello, Zoom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reactive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real-time data processing to enhance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services by developing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user-reported bugs and improved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clarify specifications and translate requirements into technical tasks, directly influencing product roadmaps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in an On-Call capacity, maintaining high availability for production systems, utilizing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troubleshoot and resolve incidents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faster load time across web applications and improved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which reduced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knowledge sharing and continuous improvement of code quality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scalability and resilience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modular, reusable code libraries to streamline the development process, enhancing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significant refactoring of existing codebase, ensuring extensive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improving the maintainability of the enterprise 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security audits and implemented best practices in web application security, reducing vulnerabilities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interactive UI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through responsive design techniques, ensuring compatibility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efforts to integrate third-party APIs into internal systems, specifically targeting enhancements to data flow and user experience supporting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team coding standards and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dynamic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improving client approval rates by 20% after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client projects by deploying applications on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functionality, enhancing data management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on front-end and back-end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delivery of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and responsive designs, leading to higher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 of applications, increasing the coverage to 90% for critical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team communications and project management, resulting in a 15% efficiency gain.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documentation of APIs for client-specific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modern web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Agile/Scrum practices by engaging in daily stand-ups and retrospectives, ensuring alignment with project timelines and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crafting user-centric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an increase in user retention rates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developed web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UI components,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support, streamlining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product stakeholders to gather requirements and design specifications, contributing to the project scope using design patterns applicable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code reviews and agile methodologies,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more than 80% test coverage on key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web applications underlining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interchange for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Owned the migration of legacy systems to cloud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scalability of client applications and reducing overhead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both technical and non-technical stakeholders, focusing on operational guides and user manuals for applications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