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over 10 years of robust experience in designing and implementing scalable web applications. Extensive expertise in PEGA solutions with proven leadership capabilities in agile environments. Adept at collaborating with cross-functional teams to align technology solutions with business objectives, committed to delivering high-quality, maintainable software solutions. Included Certified Lead System Architect (CLSA) with a strong analytical mindset and problem-solving skills focused on financial service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C#, SQL, HTML5, CSS3, PEGA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PEGA, Git, JIRA, Maven, Docker, Kubernetes, AWS, Azure, IBM Cloud, Oracle, MySQL, PostgreSQL, RESTful APIs, GraphQL, JUnit,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System Architecture, Technical Documentation, Mentorship, Code Review,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scalable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business process automation utilizing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8.x, enhancing process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 integrations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data access speed and usability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user interfaces, achieving 25% faster rendering times compared to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across multiple technology stacks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strict security and performance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significantly reducing bug rates to under 1%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full-stack development processes, cultivating a team-oriented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solution architects to ensure high-quality code delivery aligned with business objectives, enhancing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including system diagrams and reports, ensuring transparency and clarity within team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delivery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ensuring consistent environments across </w:t>
      </w:r>
      <w:r w:rsidRPr="00C3688B">
        <w:rPr>
          <w:rFonts w:ascii="Arial" w:hAnsi="Arial" w:cs="Arial"/>
          <w:b/>
          <w:color w:val="424242" w:themeColor="text1" w:themeShade="BF"/>
          <w:sz w:val="20"/>
          <w:szCs w:val="20"/>
        </w:rPr>
        <w:t xml:space="preserve">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production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NoSQL data models focusing on data integrity and optimized performance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standards in conjunction with solutions architects, safeguarding user data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planning sessions to road-map future-proof solutions using </w:t>
      </w:r>
      <w:r w:rsidRPr="00C3688B">
        <w:rPr>
          <w:rFonts w:ascii="Arial" w:hAnsi="Arial" w:cs="Arial"/>
          <w:b/>
          <w:color w:val="424242" w:themeColor="text1" w:themeShade="BF"/>
          <w:sz w:val="20"/>
          <w:szCs w:val="20"/>
        </w:rPr>
        <w:t xml:space="preserve">PEGA's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advanced capabilities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monitoring dashboards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awareness of system performance metrics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services leveraging Spring Boot for large-scale enterprise applications in </w:t>
      </w:r>
      <w:r w:rsidRPr="00C3688B">
        <w:rPr>
          <w:rFonts w:ascii="Arial" w:hAnsi="Arial" w:cs="Arial"/>
          <w:b/>
          <w:bCs/>
          <w:color w:val="424242" w:themeColor="text1" w:themeShade="BF"/>
          <w:sz w:val="20"/>
        </w:rPr>
        <w:t xml:space="preserve">financial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complex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CI/CD practices, enhancing software delivery frequency and reducing downtimes.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microservices, increasing system interoperability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quality control and performance metrics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team performance and project delivery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tech stacks, facilitating a seamless migration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for software architecture, enhancing clarity in system design for stakeholders and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protocols,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optimized performance and integrity of transactional data for customer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application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rolling out infrastructure as code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UI with user-centric design principles and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team members on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Java-based technologies, improving team skills and response times for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scoping and planning sessions, identifying technical requirements and establishing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