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experience in designing and implementing secure, scalable, and performant web applications and APIs. Highly proficient in both frontend and backend development, leveraging a diverse tech stack including React, Node.js, and AWS services to deliver seamless user experiences. Dedicated to enhancing code quality, accessibility, and compliance standards while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Svelte, Tailwind,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Database Optimization, Schema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CDK, AWS Lambda, AWS Amplify, AWS Fargate, AWS EKS, AWS Cognito, AWS CloudFront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Infrastructure as Code,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OAuth 2.0, Data Encryption, Security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Bitbucket,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standards, ensuring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responsive web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in multi-tenant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create intuitive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interface design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functionality and scalability for client-facing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supported high-volume transactions while maintaining security and compliance requirements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automating the deployment and scaling of applications across multiple AWS services, achieving a 30% reduction in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from monolithic architectures to distributed systems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dependability while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technical specifications and coding standards were consistently followed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security best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API security and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cycles by 50%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content delivery and caching strategies, significantly improving load times and user engagement metrics for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data access layers and user authentication mechanisms to comply with HIPAA regulations in an enterprise healthcare application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ensuring seamless collaboration across product and design teams while maintaining focus on delivery timelines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enterprise-level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build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user satisfaction ratings from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and testing, resulting in improved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continuous improvement and agile best practices in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tuning on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for multi-region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introducing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optimizing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which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application architecture, contributing to better team onboarding and knowledge transfer.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rich user experience with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clients’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in cloud security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the reliability of applications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brainstorming sessions to foster innovation and problem-solving within the team environment, promoting shared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focused on ensuring maintainability and adherence to coding standards, resulting in decreased technical debt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marketing sites, coordinating with design teams and management to ensure alignment with branding strategies and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and provided support during system upgrades, ensuring minimal disruption to client operations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cases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clearer communication between technical and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