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Developer with over 8 years of experience in designing and implementing software solutions across various industries. Proficient in utilizing modern frameworks and technologies to deliver innovative solutions in service-oriented architectures, particularly in health and human services. Passionate about employing technology to create impactful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Entity Framework, HTML, CSS, JavaScript, Angular 16,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CI/CD pipelines, Docker, Kubernetes,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Test Driven Development (TDD), Domain-Driven Design (DDD),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Microservices, Design Patterns, RESTful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service-oriented architecture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service-oriented principles and optimizations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full-stack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streamline workflows for healthcare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manipulation techniques for large data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including Lambda functions and DynamoDB, to create responsive microservices tailored for health service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which resulted in a 30% increase in code coverage and reduction in regression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product delivery and responsiveness to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domain-driven design principles to ensure a clear understanding of business requirements and prompt adaptation to changes, driving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documented them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integrations and improved developer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coding standards and best practices, improving team efficiency and product quality through peer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reports and dashboards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Reporting Services (SSRS)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stakeholders with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knowledge sharing through documentation and technical workshops, aiding in team skill growth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applications, leading to easier deployment and consistent environments for development, testing,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practices and regular vulnerability assessments, leading to enhanced application security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Dedicated to developing high-performance backend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efficient case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design discussions and code reviews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Domain-Driven Design (DDD)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of technical solutions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refactoring to improve maintainability and performance without strict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association representatives to gather requirements and translate them into functional specifications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facilitating a more streamlined workflow and improved communication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techniques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of data-intensive applications by 25% through efficient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periodic penetration tests and security assessments to maintain compliance with data protection regulations, achieving a 100% compliance rate.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 management capabilities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optimization for user queries and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in alignment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facilitating seamless integration and interoperability between disparate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communication and code quality significantly during peer programming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applications, improving client-side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projects, transforming legacy application data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formats while maintaining data accuracy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and user manuals for software products, ensuring that end-users were well-supported and informed about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documenting APIs, ensuring all endpoints were functioning as per specification.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