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8 years of experience in designing, developing, and maintaining scalable web applications and systems for government entities and private sector clients. Proven expertise in leading projects with a deep understanding of the full software development lifecycle, cloud technologies, agile methodologies, and a commitment to delivering best-in-class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Visual Basic,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Azure Kubernetes Service, Azure Active Directory, Azure Virtual Desktop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GitHub, CI/CD pipelines, YAML,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Selenium, LoadRunner, StressStimulus,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Domain Driven Design (DDD), Test Driven Design (TDD), Serverless Compute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Visual Studio, SFTP, Microsoft IIS, Load Balancing, Azure Service Bus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significant system performance improvements while ensuring strict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800-53 R5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 applications, optimizing resource allocation and scalability to improve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deployment times while increasing code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business analysts to gather requirements and deliver user-centric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 Driven Design (DDD)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application architecture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Addressed system vulnerabilities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measures, including regular audits against security standards and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performing code reviews, system integration testing, and automated unit testing in multiple environments, ensuring robust software delivery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applications, ensuring seamless knowledge transfer and alignment during ongoing support and maintenance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constructing stored procedures and enhancing database operations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serverless computing solutions for event-driven systems, thereby reducing operational costs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support, promptly troubleshooting production system issues and implementing upgrades to enhance software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visibility and resilience for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load testing methodologies,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StressStimulus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preemptively address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collaborations among stakeholders to deliver tailored technology solutions that addressed client-specific challenges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coding standards,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client operational efficiency by delivering effective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comprehensive SQL reports to optimize database querying processes and improve data accuracy in high-demand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entire SDLC, from requirements gathering to deployment, ensuring all software components met necessary quality standards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coverage and minimizing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facilitate better scalability and maintainability of applications, resulting in improved team workflow and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scrums, contributing insights and technical solutions to improve project workflows, ultimately driving successful project completions under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system integrations and service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maintaining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sustainability of client operations during transitions to modern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web applications through user interface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evaluating new technologies and development tools, suggesting actionable insights that led to the adoption of efficient programming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 the migration of existing applications to cloud environments, ensuring minimal downtime and enhancing application performance post-migration.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