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AI Engineer with over 8 years of experience in developing AI-powered solutions across various industries. Proven track record of designing and deploying scalable applications using advanced technologies. Passionate about leveraging AI and machine learning in healthcare to create impactful products that enhance patient 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Docker, Kubernetes,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AI/Machine Learning Libraries:</w:t>
      </w:r>
      <w:r w:rsidRPr="00C3688B">
        <w:rPr>
          <w:rFonts w:ascii="Arial" w:hAnsi="Arial" w:cs="Arial"/>
          <w:color w:val="424242" w:themeColor="text1" w:themeShade="BF"/>
          <w:sz w:val="20"/>
          <w:szCs w:val="20"/>
        </w:rPr>
        <w:t xml:space="preserve"> PyTorch, TensorFlow,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Plotly, Matplotlib, Seaborn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AI-driven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models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high scalability and cost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a complex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the backend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enhancing the user experience and improving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cloud-based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and scalable infrastructure for </w:t>
      </w:r>
      <w:r w:rsidRPr="00C3688B">
        <w:rPr>
          <w:rFonts w:ascii="Arial" w:hAnsi="Arial" w:cs="Arial"/>
          <w:b/>
          <w:color w:val="424242" w:themeColor="text1" w:themeShade="BF"/>
          <w:sz w:val="20"/>
          <w:szCs w:val="20"/>
        </w:rPr>
        <w:t xml:space="preserve">AI-powered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production-grade healthcare solutions that comply with FDA regulations,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API development and security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environments, ensuring high code quality through continuous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comprehensive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(Large Language Models) into clinical workflows to enhance patient data analysis, utilizing frameworks such as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leading to improved stability and scalability of the deployment environments for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building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leveraging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healthcare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improving image data processing features within our </w:t>
      </w:r>
      <w:r w:rsidRPr="00C3688B">
        <w:rPr>
          <w:rFonts w:ascii="Arial" w:hAnsi="Arial" w:cs="Arial"/>
          <w:b/>
          <w:color w:val="424242" w:themeColor="text1" w:themeShade="BF"/>
          <w:sz w:val="20"/>
          <w:szCs w:val="20"/>
        </w:rPr>
        <w:t xml:space="preserve">digital pathology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streamlining data analysis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code standards, design specifications, and data pipelines, enhancing team transparency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structures to support the increasing data requirements for machine learning applications, improving query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Plotly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to provide intuitive dashboards for healthcare professionals, leading to actionable insights from patient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AI model performance using techniques such as hyperparameter tuning and model retraining, ensuring continuous improvement of healthcare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healthcare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and secure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patient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application reliability through the implementation of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microservices architecture in existing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applications, ensuring delivery of high-quality software with reliable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architectural teams to migrate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operational costs while enhancing system performance with auto-scaling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requirements, translate them into technical specifications, and create solutions that leverage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patient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reusable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time-to-market for new features while improving maintainability of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cloud engineers to implement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templates, ensuring consistent environment setup for development, testing,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workflows through the use of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CI/CD practices, resulting in 20% faster delivery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security-focused architecture for identity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integrating them into mobile and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and logging frameworks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system visibility and quicker identification of performance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improve user interfaces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interactions and accessibility for diverse audiences.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optimization of applications, focusing on reducing response times through effective coding practices and database indexing.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documented API specifications, ensuring adherence to programming standards and promoting best practices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continuous integration pipelines using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reducing time spent on manual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culture of innovation by introducing machine learning concepts and tools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encouraging the team to explore data-driven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rituals, collaborating in sprint planning and retrospectives to improve efficiency and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