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AI-powered solutions and full stack applications. Proven expertise in architecting, building, and deploying scalable software solutions that improve clinical workflows, particularly in healthcare technology. Seeking to leverage advanced technical skills in AI frameworks and cloud-based platforms to contribute to revolutionary digital pathology innovations at Proscia.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Containerization:</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AI:</w:t>
      </w:r>
      <w:r w:rsidRPr="00C3688B">
        <w:rPr>
          <w:rFonts w:ascii="Arial" w:hAnsi="Arial" w:cs="Arial"/>
          <w:color w:val="424242" w:themeColor="text1" w:themeShade="BF"/>
          <w:sz w:val="20"/>
          <w:szCs w:val="20"/>
        </w:rPr>
        <w:t xml:space="preserve"> Machine Learning, AI frameworks, LLMs,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CI/CD, Agile, Scrum, PostgreSQL, MongoDB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AI-driven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into existing software frameworks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accelerated workflow for clinical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w:t>
      </w:r>
      <w:r w:rsidRPr="00C3688B">
        <w:rPr>
          <w:rFonts w:ascii="Arial" w:hAnsi="Arial" w:cs="Arial"/>
          <w:b/>
          <w:color w:val="424242" w:themeColor="text1" w:themeShade="BF"/>
          <w:sz w:val="20"/>
          <w:szCs w:val="20"/>
        </w:rPr>
        <w:t xml:space="preserve">scalability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image processing capabilities, significantly improving diagnostics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of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front-end interfaces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AI product managers and digital pathology experts, to deliver solutions enhancing patient care through </w:t>
      </w:r>
      <w:r w:rsidRPr="00C3688B">
        <w:rPr>
          <w:rFonts w:ascii="Arial" w:hAnsi="Arial" w:cs="Arial"/>
          <w:b/>
          <w:color w:val="424242" w:themeColor="text1" w:themeShade="BF"/>
          <w:sz w:val="20"/>
          <w:szCs w:val="20"/>
        </w:rPr>
        <w:t xml:space="preserve">real-time data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collaborative project efforts while implementing CI/CD pipelines for streamlined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validation of </w:t>
      </w:r>
      <w:r w:rsidRPr="00C3688B">
        <w:rPr>
          <w:rFonts w:ascii="Arial" w:hAnsi="Arial" w:cs="Arial"/>
          <w:b/>
          <w:color w:val="424242" w:themeColor="text1" w:themeShade="BF"/>
          <w:sz w:val="20"/>
          <w:szCs w:val="20"/>
        </w:rPr>
        <w:t xml:space="preserve">AI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industry standards for regulated environments, achieving 100% compliance in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documentation for automated pipelines to ensure reproducibility in </w:t>
      </w:r>
      <w:r w:rsidRPr="00C3688B">
        <w:rPr>
          <w:rFonts w:ascii="Arial" w:hAnsi="Arial" w:cs="Arial"/>
          <w:b/>
          <w:color w:val="424242" w:themeColor="text1" w:themeShade="BF"/>
          <w:sz w:val="20"/>
          <w:szCs w:val="20"/>
        </w:rPr>
        <w:t xml:space="preserve">AI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advanced </w:t>
      </w:r>
      <w:r w:rsidRPr="00C3688B">
        <w:rPr>
          <w:rFonts w:ascii="Arial" w:hAnsi="Arial" w:cs="Arial"/>
          <w:b/>
          <w:color w:val="424242" w:themeColor="text1" w:themeShade="BF"/>
          <w:sz w:val="20"/>
          <w:szCs w:val="20"/>
        </w:rPr>
        <w:t xml:space="preserve">machine learning techniques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full stack development,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to support modular integration of various </w:t>
      </w:r>
      <w:r w:rsidRPr="00C3688B">
        <w:rPr>
          <w:rFonts w:ascii="Arial" w:hAnsi="Arial" w:cs="Arial"/>
          <w:b/>
          <w:color w:val="424242" w:themeColor="text1" w:themeShade="BF"/>
          <w:sz w:val="20"/>
          <w:szCs w:val="20"/>
        </w:rPr>
        <w:t xml:space="preserve">AI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user interfaces that leverage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resulting in improved user experience and reduced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 stakeholders to gather requirements and translate them into actionable technical specifications for </w:t>
      </w:r>
      <w:r w:rsidRPr="00C3688B">
        <w:rPr>
          <w:rFonts w:ascii="Arial" w:hAnsi="Arial" w:cs="Arial"/>
          <w:b/>
          <w:color w:val="424242" w:themeColor="text1" w:themeShade="BF"/>
          <w:sz w:val="20"/>
          <w:szCs w:val="20"/>
        </w:rPr>
        <w:t xml:space="preserve">AI product features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data storage solutions tailored for high-velocity data ingestion in clinical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optimized existing service architectures, reducing deployment times by 25% and increasing the application's readiness for production use.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real-time decision support system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research collaborations in the clinical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ensure smooth deployment processes across different testing and production environments, improving stability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biologists and clinicians to integrate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into web applications to promote data-driven therapeutic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created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enable data sharing between diverse healthcare applications while ensuring compliance with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the user experience on patient-centric platforms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data storage solutions, ensuring fast query performance and maintaining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architecture planning to support the development of scalable solutions aligned with project milestones in consultation with project managers.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methodologies, leading sprints and managing workloads effectively in a fast-paced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security protocols for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varying backend technologies to reduce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developing single-page applications (SPAs)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performance and response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that utilize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ensuring robust communication between services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with a focus on best practices and optimizing existing codebases for better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 feedback to refine software features, using test cases to drive improvements and increase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practices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collaborate on code development with multiple teams, achieving efficient project execution despite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Modified existing solutions in line with evolving client requirements,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rapid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team members on the fundamentals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effective use of development tools in project execution.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