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Frontend Engineer with extensive experience in creating intuitive user interfaces and optimizing user experiences. Passionate about designing and developing scalable applications that utilize cutting-edge technologies, fostering the intersection of design and engineering. Proficient in collaborating with cross-functional teams to build robust frontend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Redux, Vue.js,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RESTful APIs,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Jest, Figma,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frontend structure for multiple projects, ensuring efficient data flow and state management within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backend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mockups into functional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pixel-perfect design alignment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across applications, improving mobile traffic conversion rates by 25%, ensuring usability and access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loading performance by implementing lazy loading strategies and code-splitting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40% on key customer-facing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comprehensive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bug detection and increase reliability of the codebase, achieving a 95% test coverage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code merges and ensuring smooth deployments while maintaining collaboration with remote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and reducing API call complexity for frontend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extensively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ensuring scalability and disaster recovery mechanisms were in place as essential architecture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A/B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user interfaces based on real-time user feedback and analytics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fostering a culture of excellence and continuous learning in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extensive API documentation to ensure ease of access and clarity for team members, aiding in onboarding new developers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team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workflow and tracking issues effectively, creating transparency and accountability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consumer-facing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customer engagement through smooth interaction and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support, ensuring seamless user experiences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 interfaces with emphasis on performance and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20% increase in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incorporate real-time data features into applications, significantly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utilizing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improving team collaboration and project deliverables timing.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research and implemented findings to enhance interface usability, achieving user satisfaction ratings above 90% in feedback 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communication between frontend and backend systems, streamlining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consistent code reviews and pair programming sessions, ensuring adherence to industry best practices in code quality and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authentication protocols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loading, which improved operational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 to share ideas and improve team productivity, aligning development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debugging and troubleshooting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resolution of frontend issues and client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improving legacy codebases through refactoring initiatives, which led to maintenance cost reduction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architecture discussions, ensuring alignment between business objectives and technical execution for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and implement testing procedures using automated tools, achieving a significant reduction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web accessibility standards (WCAG) in all projects, achieving a higher usability rating for diverse user groups.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