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over 8 years in developing user-centric web applications using React and TypeScript. Proven track record in building and scaling design systems and component libraries, effectively collaborating with cross-functional teams to deliver high-quality products. Strong advocate for best coding practices and user experience, leveraging modern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Redux, Axios, Jest, Enzyme,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GitHub Actions,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Material-UI, Styled Components,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and user-friendly single-page applications that improved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cohesive design across multiple product lines while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backend engineers to create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clear communication and documentation for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design system that enhanced aesthetic consistency and accelerated development rollout of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high-level code reviews and facilitated regular knowledge-sharing sessions to embed best practices and standards within the engineering team,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application performance and maintaining an organized codebase while simplifying data flow across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robust suite of unit and integration tests, ensuring reliable production deployments with minimal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code quality and reducing manual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with designers and backend engineers to enhance feature ideation and create a seamless user experience through collaborative brainstorming.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generative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expedite coding tasks, consequently enhancing developer productivity without compromising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effectively, prioritizing features that provide immediate user value while planning long-term architectural improvements with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multi-language support features in collaboration with design teams, increasing accessibility and user engagement across diverse regional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align with front-end technologies, enhancing personal exposure and extending professional influence within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optimizing cycle times and continuously improving development processes based on team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diverse libraries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multiple projects within stringent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optimizations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effort of building a scalable design system that enabled consistency across applications by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capture requirements and translate them into actionable frontend tasks, ensuring appropriate API contracts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architecture and performance using modern web standards and frameworks, thereby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integration of third-party libraries and facilitated proper API management, resulting in reduced response time and increased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knowledge-sharing sessions focused on best practices for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collective understanding and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code quality through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minimal bug rate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design practices and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enhance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principles, ensuring compatibility across a wide range of devices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training materials for new team members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libraries, contributing to the onboarding process to streamline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methodologies to verify component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production bugs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 meetings to reflect on project successes and areas for improvement, contributing to a culture of continuous improvement and agile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