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Engineer with over 8 years of experience in building responsive web applications and leading frontend development projects. Expert in modern JavaScript frameworks and tools, with proven ability to integrate complex APIs and optimize web performance. Committed to delivering quality solutions in a collaborative environment, leveraging a full-stack understanding of web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Axios, Fetch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Core Web Vitals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CircleCI,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 Contentful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large-scale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times by 40%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frontend components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a Django backend via RESTful APIs, streamlining user interactions and reducing API call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 performance and simplify data flow across components in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building a culture of excellence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intuitive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with the overall design strategy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SEO and performance, achieving scores over 90 on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refining assets and improving server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for local development and ensured smooth deployment through CI/CD pipelines on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SMS notifications, vastly improving service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increased code coverage and early bug detection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management and transpilation, enhancing build processes to deploy modern JavaScript features more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applications, leveraging tools to identify vulnerabilities within code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 integration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leveraging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storage, ensuring reliable and scalable web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additional projects using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headless CMS integration, allowing marketing teams to independently manage website content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reduction in average render times by optimizing loading strategies and refactoring complex components, resulting in a better user engagement rate.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CRM application utilized by major clients, enhancing usability and client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to support frontend functionalities, ensuring efficient communication between server and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techniques with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insightful analytics dashboards for client reporting, improving data interpretation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Experimented with various state management libraries leading to a successful adoption of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quicker development times on complex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API integration with backend services via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exchange and handling asynchronous operations for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Upgraded legacy systems from jQuery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technical debt and enhancing page speed by leveraging component-based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layouts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ensured application consistency across multiple devices, leading to a 50% decrease in user drop-off rates during testing.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tasks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smaller internal applications, gaining foundational experience in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code quality standards and best practices for user interface design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teams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cycles, participating in sprint planning and conducting daily standups to ensure timely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practices, facilitating collaborative code developments and effective project management amongst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