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Software Developer with over 8 years of experience in designing and implementing user-friendly web applications. Proficient in leveraging cutting-edge technologies to build robust solutions for high volume transaction environments. Passionate about collaboration and innovation, seeking to contribute to transformative projects in the FinTech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Redux, Axios,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Accessibility (ADA), Analytics, Performance Optimization, Cross-Browser Compatibility,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 over 1M transactions daily, improving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production defects and implement fixes, utilizing debugging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component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styling and functionality across various teams and projects,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sprints and backlog grooming, to ensure alignment with business objectives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 designers to create visually engaging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mockups and prototypes,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enabling seamless data interchange and enriching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pipelines, reducing deployment time significantly and ensuring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skill development and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in web applications,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improve page speed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cross-browser compatibility by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conducting thorough testing across various environments to enhance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in a double-layered testing environment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code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vendors for software integration projects, successfully facilitating communication between technical teams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data analytics tools to analyze user behavior and make data-driven decisions for feature enhancements, increasing user retention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modern web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40% reduction in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asynchronous data with dynamic state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iterative sprints and facilitating daily stand-ups, fostering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efficiency and user experience on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test-driven development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reduce the number of defects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usability across diverse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testing and end-to-end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significantly improving performance and maintainability codes.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 for technology upgrades and code reviews, promoting adherence to best practices across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back-end services and interactive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execution of Agile methodologies within the team, driving progress through regular sprint reviews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enhance application usability, supporting a wide range of data operations and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assurance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to boost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test cases, ensuring complete coverage for new features developed, thereby reducing regression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continuous integration and DevOps practices within the development lifecycle to streamline deployments and improve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sessions with stakeholders to align project objectives with business goals, ensuring effective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