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a strong focus on building responsive web applications, leveraging modern JavaScript frameworks, and collaborating with cross-functional teams. Proven ability to deliver high-quality user experiences by effectively translating design into functional code while ensuring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React Query, Playwright,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Atomic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Accessibility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Component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Systems, Storybook, TailwindCSS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performant,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dynamic web applications, focusing on high responsiveness and optimal UI designs based on feedback from UX/UI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style and functionality while optimizing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engineers to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for asynchronous data handling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robust error handling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fostering a culture of quality and continuous improvement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a component library, helping standardize UI components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Atomic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enhancing design system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rich web applications, ensuring consistent performance across browsers and adherence to accessibility standards, significantly reducing cross-browser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through effective state mutation techniques and mindful rendering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effectively optimizing load times and keeping up with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optimization, implementing techniques like lazy loading and code splitting to enhance the overall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adhering to best practices within sprints, backlog grooming discussions, and retrospective sessions, encouraging full team participation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pair programming sessions and fostering growth through knowledge sharing sessions, which improved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product team to develop a feature roadmap that aligns engineering deliverables with business objectives, focusing on the relentless pursuit of the win for our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visualizations and dashboards that interpreted complex data sets, improving decision-making processes and enhancing overall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build interactive prototypes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design specifications into responsive and accessible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calls, improving data handling efficiency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reliability, achieving over 85% code coverage on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planning, and reviews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fostering a culture of adaptability and continuous improvement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restructuring of legacy codebases, refactoring critical components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hooks to enhance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team knowledge bases by documenting processes and coding standards, aiding in the onboarding of new team members and maintaining team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 needs and developing customized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 for client presentations, enhancing user engagement through informative graphics and infographics.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standards and practicing code branching and merging strategies to mitigate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requirements, navigate stakeholder objectives, and strategize on implementation timelines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