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Engineer with 8+ years of experience delivering high-quality web applications and software solutions in fast-paced environments. Proficient in leveraging cutting-edge technologies such as Vue.js, React, and TailwindCSS to create engaging user interfaces and experiences. Adept at collaborating with cross-functional teams and contributing to innovative projects that drive business success and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 3, React, TailwindCSS,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Vitest, Cypress, Playwright,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ECharts, Chart.js, D3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JSON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scalable,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the PowerX design system, resulting in a 25% reduction in UI-related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device-configuration features, such as HVAC/temperature sensor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for tablet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transform Figma specs into pixel-perfect layouts, ensuring accessibility and responsiveness across all devices, achieving a 95% user satisfaction score in usability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visualizations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dashboard experience for end-users and increasing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error handling and offline support for tablet users,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optimistic UI updates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decrease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writing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performed E2E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product reliability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providing feedback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Vue applications, leading to cleaner and more maintainable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development team to refine user stories, clarifying requirements and accelerating the development process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JWT authentication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interactions, ensuring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build tooling in front-end projects, resulting in a 15% improvement in build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developing for mobile and tablet devices, enhancing team skill set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engineers to ensure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optimized data fetching, reducing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features with a focus on device compatibility, successfully building applications for iOS and Android tablets with over 98% screen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feedback loop systems to iterate on user feedback rapidly, ensuring continuous improvement in UI/UX designs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ensuring smooth data flow and user interaction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stakeholders with real-time insights and reporting functionalities, improving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RESTful APIs to support frontend services, ensuring high performance and security standards were met, leading to enhanced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to validate new features, utilizing analytics tools to track user engagement and preferences, informing future design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refine application features and improve overall user experience using design systems and style guides.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methodologies, actively participating in sprint planning sessions and retrospectives to improve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providing guidance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techniques, facilitating professional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strengthening application security measures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small to medium-sized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modular and responsive design layouts, enhancing the visual appeal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key web applications from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Materialize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interfaces that align with corporate branding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