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Front-End Engineer with over 8 years of experience in building intuitive, responsive, and accessible user interfaces. Proficient in utilizing modern frameworks and technologies to support mission-critical applications, with a strong focus on collaborative development and agile methodologies. Holds an active Top Secret/SCI Eligible clearance, enhancing the ability to contribute to secure and sensitive government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Vue.js, Angular,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Section 508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enhanced user experience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intuitive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the principles of web accessibility (WCAG) and responsive design, ensuring a seamless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engineers to translate wireframes into interactive digital products,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data exchange between front-end components and back-end services, ensuring optimal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streamlining the development pipeline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actively contributing to sprint planning and retrospective meetings to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sharing best practices in UI development, encouraging knowledge sharing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component libraries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development while maintaining consistent design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teams, including backend developers and product owners, to design and implement innovative solutions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of scalable web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maintainability through modular code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asset management strategies, achieving a 30% reduction in load times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best practices and accessibility standards, performing regular audits to adhere to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client-specific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application usability based on user feedback, resulting in a notable increase in user satisfaction as measured by usability testing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load times and accessibility for clients in sensitive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develop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interaction and user experience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practices, contributing to sprint planning and daily stand-up meetings to ensure project progress aligns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repositories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code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and collaborated closely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brand guidelines and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functional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behavior and regression testing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strategies for frontend applications, resulting in improved application speed and user engagement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with a focus on building secure and scalable applications that comply with government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processes and user-friendly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federal clients, ensuring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 visualization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graphical representation of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define project scopes and deliverables, ensuring alignment with organizational goals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CI/CD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deployments and maintaining consistency across 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cross-disciplines to gather requirements and iteratively refine designs based on client feedback and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methodologies including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customizations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visually appealing and maintainable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integrate accessibility techniques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throughout the development life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