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Front End Software Engineer with 7+ years of experience in developing high-quality, responsive web applications for government clients. Proven track record of delivering accessible UI designs and collaborating effectively in Agile environments. Fluent in modern frameworks and committed to maintaining clean, maintainable code.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Git, Cypress, Playwright, JIRA,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Kanban,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Standards:</w:t>
      </w:r>
      <w:r w:rsidRPr="00C3688B">
        <w:rPr>
          <w:rFonts w:ascii="Arial" w:hAnsi="Arial" w:cs="Arial"/>
          <w:color w:val="424242" w:themeColor="text1" w:themeShade="BF"/>
          <w:sz w:val="20"/>
          <w:szCs w:val="20"/>
        </w:rPr>
        <w:t xml:space="preserve"> Section 508 Compliance, WCAG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Tools:</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Enzyme, Mocha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and compliant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w:t>
      </w:r>
      <w:r w:rsidRPr="00C3688B">
        <w:rPr>
          <w:rFonts w:ascii="Arial" w:hAnsi="Arial" w:cs="Arial"/>
          <w:b/>
          <w:color w:val="424242" w:themeColor="text1" w:themeShade="BF"/>
          <w:sz w:val="20"/>
          <w:szCs w:val="20"/>
        </w:rPr>
        <w:t xml:space="preserve">Section 508 compliance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government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single-page applications (SPAs)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integrating with backend services via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enhancing data flow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translate wireframes into interactive prototypes,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design collaboration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implementing automated front-end tests, resulting in a significant reduction of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robust component library and front-end design system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code reusability and accelerating development cycles across multiple agile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achieving a 30% increase in deployment efficiency and positively impacting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cross-browser testing and contributed to performance optimization strategies, ensuring consistent user experience across various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detailed technical documentation for code and configurations, improving knowledge transfer and maintainability for future developers on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Scrum ceremonies, enhancing cross-functional collaboration and adherence to government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engaging demo applications and interactive presentations using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showcasing product capabilities to federal stakeholders and securing project buy-ins.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 sessions, promoting best coding practices and ensuring deliverables were well-structured, clean, and aligned with organizational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code profiling and refactoring, leveraging tools like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analytics and performance metrics measurement.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modern front-end practices, including the effective use of </w:t>
      </w:r>
      <w:r w:rsidRPr="00C3688B">
        <w:rPr>
          <w:rFonts w:ascii="Arial" w:hAnsi="Arial" w:cs="Arial"/>
          <w:b/>
          <w:color w:val="424242" w:themeColor="text1" w:themeShade="BF"/>
          <w:sz w:val="20"/>
          <w:szCs w:val="20"/>
        </w:rPr>
        <w:t xml:space="preserve">React Hooks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state management techniques to foster team growth and capability.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libraries and tools, such as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data visualizations that improved data representation for federal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monitoring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assess application health and user interactions, allowing proactive resolution of potential issues and enhancement of overall user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for enterprise-level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layouts are mobile-responsive and adhere to usability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backend teams to integrate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enhancing data handling and application performance, achieving high user engagement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testing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quality and minimizing production defects dramatically.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Agile methodologies, implementing daily stand-ups and sprint planning sessions that improved team communication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code management, enabling seamless collaboration across cross-functional teams and reducing merge conflicts.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accessibility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optimization efforts that improved loading speeds by 25% through effective use of minification tools and asynchronous loading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scrum meetings to assess project progress, facilitate transparency, and ensure alignment with project goals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utilized various front-end libraries such as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interactions, ensuring smooth UX across various platforms and devices.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