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extensive experience in designing and deploying machine learning models and MLOps workflows on AWS. Proven ability to develop modern data solutions and optimize cloud infrastructures for diverse clients, ensuring high performance and efficiency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MLFlow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SageMaker, AWS Glue, AWS Lambda, Amazon S3, Amazon Athena, Amazon Quicksight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CDK,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Pipelines and ETL Tools:</w:t>
      </w:r>
      <w:r w:rsidRPr="00C3688B">
        <w:rPr>
          <w:rFonts w:ascii="Arial" w:hAnsi="Arial" w:cs="Arial"/>
          <w:color w:val="424242" w:themeColor="text1" w:themeShade="BF"/>
          <w:sz w:val="20"/>
          <w:szCs w:val="20"/>
        </w:rPr>
        <w:t xml:space="preserve"> Apache Airflow, Apache Spark, Data 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 Tools:</w:t>
      </w:r>
      <w:r w:rsidRPr="00C3688B">
        <w:rPr>
          <w:rFonts w:ascii="Arial" w:hAnsi="Arial" w:cs="Arial"/>
          <w:color w:val="424242" w:themeColor="text1" w:themeShade="BF"/>
          <w:sz w:val="20"/>
          <w:szCs w:val="20"/>
        </w:rPr>
        <w:t xml:space="preserve"> Prometheus, Grafana, Jupyter Notebook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on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and monitoring of machine learning models across diverse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from ingestion to analysis, while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preprocessing techniques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model accuracy and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construct robust </w:t>
      </w:r>
      <w:r w:rsidRPr="00C3688B">
        <w:rPr>
          <w:rFonts w:ascii="Arial" w:hAnsi="Arial" w:cs="Arial"/>
          <w:b/>
          <w:color w:val="424242" w:themeColor="text1" w:themeShade="BF"/>
          <w:sz w:val="20"/>
          <w:szCs w:val="20"/>
        </w:rPr>
        <w:t xml:space="preserve">machine learning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performance metrics exceeding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Amazon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transforming complex datasets into actionable insights for client presentations and strategic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and efficient deployment of infrastructure as code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analysis (EDA) using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presenting findings through effective visualization techniques and improving stakeholder understanding of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ensuring stability and reliability of models in </w:t>
      </w:r>
      <w:r w:rsidRPr="00C3688B">
        <w:rPr>
          <w:rFonts w:ascii="Arial" w:hAnsi="Arial" w:cs="Arial"/>
          <w:b/>
          <w:color w:val="424242" w:themeColor="text1" w:themeShade="BF"/>
          <w:sz w:val="20"/>
          <w:szCs w:val="20"/>
        </w:rPr>
        <w:t xml:space="preserve">production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collaborative efforts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leading daily stand-ups and sprint planning sessions to deliver timely solutions aligned with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relational and NoSQL database solutions, enhancing data accessibility and performance for various client applications, with specific focus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w:t>
      </w:r>
      <w:r w:rsidRPr="00C3688B">
        <w:rPr>
          <w:rFonts w:ascii="Arial" w:hAnsi="Arial" w:cs="Arial"/>
          <w:b/>
          <w:color w:val="424242" w:themeColor="text1" w:themeShade="BF"/>
          <w:sz w:val="20"/>
          <w:szCs w:val="20"/>
        </w:rPr>
        <w:t xml:space="preserve">data 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designing multi-layered data ingestion strategies to handle both structured and unstructured datasets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encompassing model features, data schemas, and pipelines, adhering to best practices for knowledge sharing and future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coding standards,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 utilization, and model deployment strategies,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initiative to migrate legacy data warehouses to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data 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data accessibility and facilitate machine learning workloads.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client applications to interact seamlessly with data models, optimizing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implementing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utilizing </w:t>
      </w:r>
      <w:r w:rsidRPr="00C3688B">
        <w:rPr>
          <w:rFonts w:ascii="Arial" w:hAnsi="Arial" w:cs="Arial"/>
          <w:b/>
          <w:bCs/>
          <w:color w:val="424242" w:themeColor="text1" w:themeShade="BF"/>
          <w:sz w:val="20"/>
        </w:rPr>
        <w:t xml:space="preserve">MLFlow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the complete lifecycle from model development to deployment and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large-scale dataset extraction and transformation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processing and preparation for machine learning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best practices for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for data cataloging and transformation workflows, significantly increasing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assurance methods, leveraging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consultations on cloud architecture solutions, enhancing client cloud strategies with the latest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offerings and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on </w:t>
      </w:r>
      <w:r w:rsidRPr="00C3688B">
        <w:rPr>
          <w:rFonts w:ascii="Arial" w:hAnsi="Arial" w:cs="Arial"/>
          <w:b/>
          <w:bCs/>
          <w:color w:val="424242" w:themeColor="text1" w:themeShade="BF"/>
          <w:sz w:val="20"/>
        </w:rPr>
        <w:t xml:space="preserve">Okta’s 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permission protocols for clients in various sectors.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data-focused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conduct queries and data analysis, supporting business intelligence initiatives for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project teams to implement automated testing frameworks, enhancing code quality and reducing production errors through consistent usage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