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senior-level software engineer with a robust background in developing complex SQL-based applications, data integration solutions, and performance tuning in financial services. Proven track record of successfully leading technical initiatives while ensuring alignment with enterprise architecture and business goals. Skilled in fostering collaboration across teams to drive efficiency and deliver secure systems in remote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Oracle DB, MySQL, PostgreSQL, NoSQL, ETL, Data Modeling, Data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CloudFormation, Lambda, S3 Buckets,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HTML, CSS,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Integration &amp; Processing:</w:t>
      </w:r>
      <w:r w:rsidRPr="00C3688B">
        <w:rPr>
          <w:rFonts w:ascii="Arial" w:hAnsi="Arial" w:cs="Arial"/>
          <w:color w:val="424242" w:themeColor="text1" w:themeShade="BF"/>
          <w:sz w:val="20"/>
          <w:szCs w:val="20"/>
        </w:rPr>
        <w:t xml:space="preserve"> Apache Spark, Apache Kafka, Data Lakes, ETL Pipelines,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Power BI, Tableau, Git, Jira,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SQL queries and stored procedures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database performance tuning initiatives by leveraging </w:t>
      </w:r>
      <w:r w:rsidRPr="00C3688B">
        <w:rPr>
          <w:rFonts w:ascii="Arial" w:hAnsi="Arial" w:cs="Arial"/>
          <w:b/>
          <w:color w:val="424242" w:themeColor="text1" w:themeShade="BF"/>
          <w:sz w:val="20"/>
          <w:szCs w:val="20"/>
        </w:rPr>
        <w:t xml:space="preserve">Oracle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resulting in a 25% decrease in query execution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ETL processes for data integration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data flow between applications and improved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ensure high availability and reduced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scalable data ingestion pipelines for the </w:t>
      </w:r>
      <w:r w:rsidRPr="00C3688B">
        <w:rPr>
          <w:rFonts w:ascii="Arial" w:hAnsi="Arial" w:cs="Arial"/>
          <w:b/>
          <w:color w:val="424242" w:themeColor="text1" w:themeShade="BF"/>
          <w:sz w:val="20"/>
          <w:szCs w:val="20"/>
        </w:rPr>
        <w:t xml:space="preserve">Data 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advanced analytics and reporting, which increased data accessibility for business units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establish enterprise application strategies aligned with business objectives, contributing to a 20% improvement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analysts to understand and deliver end-to-end data requirements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and business reporting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automated database change management processes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errors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document database structures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organizational standards and improving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lifecycle planning and resource allocation for critical applications, utilizing Jira for project tracking and Agile methodologies to deliver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focused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ensuring high code quality and adherence to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requirements documentation and technical specifications to support system reliability, facilitating knowledge transfer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produce comprehensive dashboards for stakeholders, helping enhance decision-making processes based on data-driven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banking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financial transaction processing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creating ETL workflows for data cleansing and transformation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streamlined reporting 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modernizations by introducing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enhance deployment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environments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usage and improving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user acceptance testing (UAT) and provided feedback to development teams to ensure that delivered features met user needs and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and delivery (CI/CD) pipelines leveraging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time to market for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DevOps practices to monitor application performance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alerting mechanisms that improved system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 control and security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integrations for financial products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successful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database structures and ETL processes, promoting clarity and future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provide technical insights into database requirements and performance capabilities to inform strategic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data validation processes to ensure the integrity of incoming data at the application layer, reducing errors in operational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