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DevSecOps Engineer with over 8 years of experience in cloud automation, CI/CD implementation, and security integration. Proven expertise in leveraging a diverse range of technologies, including AWS, Docker, Kubernetes, and Ansible, to enhance software deployment and operational efficiency. Adept at collaborating with cross-functional teams to deliver secure, scalable, and high-performing applications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Maintainability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Aqua Security, HashiCorp Vault, Snyk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Ubuntu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VPC, Subnets, Firewalls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enhancing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microservices, conducting rolling updates and scaling applications based on service demands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reducing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configuration management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environment setups across 50+ development and production servers.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software development lifecycle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Snyk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Aqua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zero production vulnerabilities reported in the last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integrate logging and monitoring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observability and facilitating faster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backup solutions for databases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overhead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and compliance assessments, reporting findings to stakeholders and implementing remediations based on recommendations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HashiCorp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of performance metrics, leading to a 35% reduction in incident resolution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gateways and firewalls to enhance application security across hybrid cloud environments, ensuring compliance with organizational policy.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services and improving interoperability of internal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workshops for the engineering team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team productivity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version control and collaboration within cross-functional teams, contributing to an increase in overall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 solutions, streamlining event-driven architectures and reducing server costs for multiple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analysis, enhancing reporting capabilities for project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an internal tool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by automating repetitive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CI/CD pipelines by introducing automated testing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code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an initiative to shift legacy systems to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efficiency and reliability in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network security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VPC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configurations, initiating subnets and route tables to optimize data flow while maintaining security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baseline security measures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into the development lifecycle, reducing security vulnerabilities in the initial code implementation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strategies for testing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templates, significantly speeding up the rollout of new release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security team to perform vulnerability assessments, implementing necessary controls and remediations to minimize risk exposure in application ecosystems.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that migrated several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their scalability capabilities and reducing historical downtime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 visualization tools to present analytics on application performance, enabling stakeholders to make informed decisions to drive product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