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Design Engineer specializing in creating seamless user experiences through innovative design and engineering practices. Proven ability to utilize technologies such as React, CSS, and Figma to develop high-quality applications that meet user needs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Creative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Flexbox, Grid Layout, Media Queries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GSAP, Framer Motion, CSS Transitions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modular,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application scalability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designers to bring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to life and implemented mobile-first design principles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new component library,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styling and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optimization and configured Babel for cross-browser compatibility, enhancing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animations and transitions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and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fetching processes for real-time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constant integration workflows,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Enhancements led to 20% increased performance in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 in conducting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usability improvements resulting in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 centralized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and resolve user experience issues before they impact a larger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accessibility best practices and implemented compliant applications, ensuring all designs met WCAG guidelines and improved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optimization strategies for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migrated critical codebase components to enhance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analytics tools to track user interaction insights and adjusted features based on feedback to drive product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experience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tested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flow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to improve user interface interactions, enhancing usability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iterate on designs and functionalities, contributing to faster project delivery times and enhanced client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that focused on generating high-quality code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sprint planning to visualize and refine concepts before development initiation.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knowledge base on best practices for responsive design, ensuring future projects benefited from shared learnings.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conducted regular audits of code repositories to maintain project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customer interaction with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RESTful services for seamless front-end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JavaScript components, leading to early bug detection and resolution, improving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through the optimization of JavaScript and CSS assets, achieving a 30% reduction in load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user-centric features based on feedback from user experience testing,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establish deployment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uptime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style guides and pattern libraries to standardize component design and usage across various projects, improving efficiency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their digital transformation initiatives through tailored web solutions, ensuring adherence to their strategic goals through technology.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