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Data Engineer with over 8 years of proficiency in developing robust data systems. Expertise in database engineering, ETL pipeline design, and cloud-based analytics using various technologies to drive data-driven decisions. Proven leadership in managing data infrastructure, ensuring system integrity, and developing strategic solutions for complex data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Redshift, MySQL, DynamoDB,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Glue, AWS RDS, AWS EC2, AWS QuickSight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Pipelines, Data Warehousing, Data Governance,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CloudTrail, CloudWatch, IAM,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Root Cause Analysis, Performance Management, Change Management, Collaboration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heterogeneous data sources, resulting in a 30%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data infrastructure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storage capabilities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and established automated alerts for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ETL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interaction, improving data accuracy by 15% through more efficient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that led to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data governance frameworks to protect sensitive information, aligning with compliance regulations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warehouse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analytics for key business operations and significantly reducing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data discrepancies, implementing corrective strategies to enhance reliability and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in database design and development, fostering a culture of knowledge sharing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administration processes, focusing on performance optimization and scalability, resulting in a 40%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system upgrades, including database hardening and security patching, which strengthened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in team settings through agile methodologies, enhancing project deliverables and fostering an environment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specifications based on business requirements, ensuring alignment with SLAs and improving service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comprehensive data management system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20% and increasing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database solutions with clustering and replication strategies, ensuring high availability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of structured and unstructured data, which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data quality management processes using SQL and R, improving overall data accuracy metrics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designing data architectures that aligned with business objectives, ensuring compliance with data integrity policies,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automation of data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analytical frameworks,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reporting.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new features in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reducing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projects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flexibility and scalability of data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cleansing and normalization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datasets were available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API services that interfaced with multiple databases, increasing system interoperability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goal-setting processes by establishing realistic objectives aligned with technical project timelines and delivery schedules.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