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expertise in design and implementation of high-performing systems, skilled in C++, DB2, and XML. Proven track record of enhancing credit union core systems and delivering innovative software solutions. Strong advocate of Agile methodologies and professional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/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SQL,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DB2,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Tomcat, Jasperserver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Design,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Load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core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financial applications, enhancing system reliability and performance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and integrating RESTful APIs for seamless communication between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object-oriented design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 solutions, enabling easier maintenance and extensibility for credit union systems while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files for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for low latency and high availability, successfully decreasing response times by 30% through rigorous performance tuning and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clients to gather requirements and translate them into detailed software specifications, leading to tailored solutions that meet diverse needs in the credit union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operational costs by utilizing serverless architecture and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Jasperserver configurations to generate critical reports and analytics for credit union members, utilizing an efficient database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teams to prioritize and deliver features on time while maintaining active communication with stakeholders,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50%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easier deployment and scaling of financial services across multiple environments, including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on-call support during critical outages, troubleshooting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network-related issues to restore services for client applications with minimal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development processes and code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knowledge retention within the team, and improving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in performance optimization through careful analysis of system bottlenecks, employing advanced monitoring tools to track and evaluate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the flagship product,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communicate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transactions efficiently in a financial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refactoring codebases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that improved processing speeds by over 25% using advanced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iterative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reporting to align developments with strategic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strategies, including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software quality and delivering robust applications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protocols in new application features, increasing the security and reliability of data transmissions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fostering a transparent communication environment and driving continuous improvement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technical specifications for new features, ensuring accurate dissemination of information to stakeholders and support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scaling capabilities to handle increased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prototyping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demonstration applications showcasing potential enhancements to user interaction with core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standards and best practices in the development of secure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and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leveraging extensive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propose solutions for automation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collect feedback on system performance, providing actionable insights to improve application effectiveness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tasks for production incidents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for database integrity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