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software engineer with over 8 years of extensive experience in full-stack development, specializing in Ruby on Rails and React. Proven ability to lead and mentor teams while delivering high-quality software solutions. Adept at implementing behavior-driven development practices and unit testing to enhance software reliability and performance. Passionate about building user-centric applications and driving product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Redux,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Behavior-Driven Development (BDD),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CI/CD,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WebSocket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supports hundreds of clients by creating efficient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enhancing user engagement by 30% through improved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scalable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server costs by 25% while increasing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behavior-driven development (BDD)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test coverage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efficient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streamlined implementation of features with reduced cycle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growth and knowledge-sharing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delivering enhanced functionalities and features in a timely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achieving a more organized and predictable state transition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 tasks, significantly improving application load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application architecture with a focus on maintainability and scalability, adhering to best practices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utilized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project management, resulting in better tracking of deliverables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capture requirements and translated them into high-level and detailed specifications for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training program for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more capable and adaptive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front-end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build a customer management system,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storage, which improved client reporting capabilities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Devise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interfaces, ensuring secure access to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the transition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maintainability and user experience through component-based architecture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unit testing practices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maintaining high code quality standards, achieving an overall test coverage of over 75%.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Instituted Agile methodologies to streamline workflows, maximized productivity, and fostered continuous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e-commerce platforms integrating payment gateways and optimizing checkout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conversion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brainstorming sessions to leverage innovative ideas in product features, leading to successful launches of two new product 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key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scalable architecture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database management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through enhanced interactivity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continuous delivery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 processes, decreasing production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seamless user interfaces for web applications, ensuring accessibility standards were met across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sessions to align technical specifications with business objectives, resulting in the successful launch of several high-profile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schemas and SQL queries to improve data retrieval efficiency, resulting in a 20% reduction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established a branching strategy that improved team collaboration and reduced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best practices in writing clean code and agile development, contributing to team skill enhancement and better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