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proactive approach to building scalable systems for real-time AI evaluations. Proficient in developing low-latency services and managing distributed pipelines to optimize AI performance, ensuring operational compliance and safety.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Pulsar, Redis Streams, gRPC, FastAPI, asyncio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Kubernetes, Docker, Serverless Functions,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FAISS, Weaviate, Qdrant, ClickHouse, pgvector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Semantic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SIEM, IAM,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scalable, low-latency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managing real-time evaluations and batch processing for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core evaluation engine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streaming data pipelines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anomaly detection in LLMs.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 runtime intervention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 Streams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compliance actions based on real-time AI evaluations and risk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operationalized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RAG-like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use cases, enhancing retrieval accuracy and operational efficiency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frameworks for pluggable evaluators and intervention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automated deployment pipelines and no-code authoring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micro-batching and streaming for LLM/embedding calls to mitigate blocking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threads and facilitate smooth operational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observability, ensuring systems were monitored effectively and issues could be diagnosed programmatically.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optimal cloud-native practices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service scalability and reliability controls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IT and Security teams to ensure compliance and safety, proactively addressing operational risks tied to AI behavior variations.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high-QPS, low-latency service architecture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p95/p99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latency thresholds, ensuring performance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of trade-offs around build vs buy vs open-source strategies, defending choices based on scalability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features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Arrow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data access, improving data analytics and reporting capabilities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application development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streaming solutions to optimize data processing workflows, reducing latency and improving throughput for client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multi-threaded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metrics in high-traffic environments, achieving over 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monitoring systems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observability, leading to a 30% decrease in incident response time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and deploying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aligning with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deployment cycles, facilitating continuous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to a cloud-native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serverless functions for reduced operational overhead and cost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relationships, translating business needs into technical requirements while ensuring project deliverables met compliance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security and compliance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optimizing query performance and enhancing data integrity in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client interfaces and backend services, supporting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access performance, positively impacting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monitoring solutions to facilitate proactive issue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