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technically adept Senior Backend Engineer with over 8 years of experience in application development, proficient in C# and backend system design for mobile gaming applications. Proven track record of leading projects, improving service efficiency, and collaborating effectively in agile environments to deliver high-quality software solutions. Motivated by innovation and a passion for gaming, committed to shaping engaging multiplayer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Spring Boot, Kubernetes, Docker,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Systems,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Bitbucket,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Postman, Swagger,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Stack, APM Tools, Load Balancers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microservices-based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data retrieval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system's resilience and availability for mobile game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translate wireframes into functional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profiling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monitoring tools, improving application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analytics engine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enabling designers to dynamically iterate on game features, which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adoption of Agile methodologies, improving deployment frequency and overall project throughput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significantly reducing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design sessions, gathering requirements for cloud infrastructure enhancements that streamlined system maintenance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Nomad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services, fostering a fully automated deployment pipeline that improved team productivity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database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optimization, contributing to the overall skill enhancement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system designs and functionality were thoroughly recorded and accessible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service availability, enabling proactive adjustments based on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cloud-native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lower costs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collaborative sessions to ensure adherence to industry best practices and promoted a culture of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SaaS applications that serve enterprise clients, enhancing system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high availability to meet growing user demands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enhance API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improved overall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benchmarks to identify bottlenecks, achieving a 20% increase in efficiency in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internal tools suite for project management and documentation,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workflow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 designs to safeguard user data, utilizing encryption standards and best practices in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 and retrospectives, fostering a culture of teamwork and iterative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decision making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identify backend requirements for new applications, emphasizing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cross-functional team collaborations and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databases from traditional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retrieval speeds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learning outcomes for team sharing sessions, enhancing knowledge retention and standards compliance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