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backend engineer with over 8 years of experience in software development, specializing in scalable architectures and high-impact integrations in cryptocurrency platforms. Proven track record of building robust backend systems, enhancing security protocols, and optimizing performance while collaborating in fast-paced, distributed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React, GraphQL, Redis,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BigTable,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PagerDuty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Pub/Sub, Software Testing, Automated Deployments,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cryptocurrency portfolio tracking, significantly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data ingestion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Pub/Sub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BigTable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processing of millions of transactions, resulting in enhanced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pipeline and reducing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third-party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retrieval from multiple sources while ensuring robust error handling and logging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backend functionality by optimizing SQL queries and designing efficient schemas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database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through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frameworks with over 85%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through Agile methodologies to launch new features and products that align with the mission of empowering users with comprehensive crypto tax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analysis and scaling strategies to manage peak loads,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resource management and cost-effective service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authentication and authorization workflows with secure token-based mechanisms for user data integrity and compliance in crypto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in managing diverse cryptocurrency assets and tax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through strategic implementation of caching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country-specific tax regulations into backend logic, ensuring compliance and accuracy in customer tax reporting for multiple jurisdictions.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team proficiency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reducing release time by 40% while increasing application stability through continuous delivery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accessibility and responsiveness in financial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understand requirements and successfully implemented integrations with customer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reliability by instituting rigorous logging and performance monitoring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PagerDuty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recovery processes to minimize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a SaaS platform, enhancing functionality for secure data sharing and collaboration among users and various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data analytics tools to generate insights for user behavior patterns and trends, reinforcing business strategies and decision-making.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