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Backend Engineer with extensive experience in developing and maintaining reliable backend services and APIs, leveraging modern technologies to enhance performance and system architecture. Proven track record of collaborating with cross-functional teams to deliver impactful solutions in a fast-paced environment, driving efficiency and innovation in backend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Ruby, Go, Node.js,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WebSockets,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RSpec,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Performance Monitoring:</w:t>
      </w:r>
      <w:r w:rsidRPr="00C3688B">
        <w:rPr>
          <w:rFonts w:ascii="Arial" w:hAnsi="Arial" w:cs="Arial"/>
          <w:color w:val="424242" w:themeColor="text1" w:themeShade="BF"/>
          <w:sz w:val="20"/>
          <w:szCs w:val="20"/>
        </w:rPr>
        <w:t xml:space="preserve"> New Relic, Datadog,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JSON, XML, Microservices, AI and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between kiosk systems and backend services, resulting in a 30% increase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 for user data management, optimizing queries and ensuring data integrity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system reliability and performance through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significantly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containerized deployments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deployment pipeline and enabling faster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modernize legacy systems, transitioning from monolithic architectures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which improved system flexibility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Deployment (CI/CD) processes, reducing release time and enhancing version control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performance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proactively identified and resolved bottlenecks, improving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actively in sprint planning and standups, ensuring alignment with business goals and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built, and documented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third-party developers to extend functionality and integrate with kiosk services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design discussions, introducing best practices for API security and data protection, particularly focusing on user data privacy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QA teams to establish comprehensive testing protocols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reducing pre-release defects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interactions for high-load scenarios, boosting throughput during peak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backend technologies and best practices, fostering a culture of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early-stage AI applications, designing backend services that support machine-learning models for key duplication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Key contributor to a team developing </w:t>
      </w:r>
      <w:r w:rsidRPr="00C3688B">
        <w:rPr>
          <w:rFonts w:ascii="Arial" w:hAnsi="Arial" w:cs="Arial"/>
          <w:b/>
          <w:bCs/>
          <w:color w:val="424242" w:themeColor="text1" w:themeShade="BF"/>
          <w:sz w:val="20"/>
        </w:rPr>
        <w:t xml:space="preserve">Java-based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enterprise applications, focusing on scalability and performance optimization, leading to improved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increasing integration capabilities for third-party solutions and streamlining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stakeholders to analyze requirements and translate them into functional </w:t>
      </w:r>
      <w:r w:rsidRPr="00C3688B">
        <w:rPr>
          <w:rFonts w:ascii="Arial" w:hAnsi="Arial" w:cs="Arial"/>
          <w:b/>
          <w:bCs/>
          <w:color w:val="424242" w:themeColor="text1" w:themeShade="BF"/>
          <w:sz w:val="20"/>
        </w:rPr>
        <w:t xml:space="preserve">technical specifications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secure data processing system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accuracy and reducing processing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into existing systems, enhancing deployment flexibility and facilitating independent scaling of core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design discussions, promoting best practices and ensuring high-quality standards in all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practices, implementing proper branching strategies for smoother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availability and resilience.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secure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a significant rise in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agile product iterations and improved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a cross-functional team to implement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authentication protocols, enhancing security measures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guided clients through successful software integration relying heavily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complex SQL queries, improving application efficiency and reducing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custom reporting tool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significantly speeding up the reporting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including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only top-grade software passed through to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documentation, focusing on architecture and technical specifications to streamline future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