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Developer with over 8 years of extensive experience in building and optimizing backend services for high-performance applications, primarily leveraging the Adobe Experience Manager (AEM) platform. Proficient in Java, OSGi, and RESTful API development, with a strong emphasis on secure coding practices adhering to DoD cybersecurity standards. Committed to delivering scalable and maintainable solutions through collaboration in Agile environments, driving forward innovations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Groovy,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Adobe Experience Manager, Apache Sling, OSGi, RESTful APIs,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GovCloud, Azure, Heroku,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NoSQL,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Cybersecurity Standards:</w:t>
      </w:r>
      <w:r w:rsidRPr="00C3688B">
        <w:rPr>
          <w:rFonts w:ascii="Arial" w:hAnsi="Arial" w:cs="Arial"/>
          <w:color w:val="424242" w:themeColor="text1" w:themeShade="BF"/>
          <w:sz w:val="20"/>
          <w:szCs w:val="20"/>
        </w:rPr>
        <w:t xml:space="preserve"> DoD STIGs, RMF, NIST SP 800-53, OWASP, CIS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GraphQL, SOAP, REST, JMS, Middleware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w:t>
      </w:r>
      <w:r w:rsidRPr="00C3688B">
        <w:rPr>
          <w:rFonts w:ascii="Arial" w:hAnsi="Arial" w:cs="Arial"/>
          <w:b/>
          <w:color w:val="424242" w:themeColor="text1" w:themeShade="BF"/>
          <w:sz w:val="20"/>
          <w:szCs w:val="20"/>
        </w:rPr>
        <w:t xml:space="preserve">Adobe Experience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optimizing performance and ensuring compliance with government standards such as </w:t>
      </w:r>
      <w:r w:rsidRPr="00C3688B">
        <w:rPr>
          <w:rFonts w:ascii="Arial" w:hAnsi="Arial" w:cs="Arial"/>
          <w:b/>
          <w:color w:val="424242" w:themeColor="text1" w:themeShade="BF"/>
          <w:sz w:val="20"/>
          <w:szCs w:val="20"/>
        </w:rPr>
        <w:t xml:space="preserve">DoD STIGs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RMF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with frontend components, enhancing user experience and functional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custom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services in the AEM ecosystem leveraging </w:t>
      </w:r>
      <w:r w:rsidRPr="00C3688B">
        <w:rPr>
          <w:rFonts w:ascii="Arial" w:hAnsi="Arial" w:cs="Arial"/>
          <w:b/>
          <w:color w:val="424242" w:themeColor="text1" w:themeShade="BF"/>
          <w:sz w:val="20"/>
          <w:szCs w:val="20"/>
        </w:rPr>
        <w:t xml:space="preserve">OSGi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significantly improving code quality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secure, scalable solutions on </w:t>
      </w:r>
      <w:r w:rsidRPr="00C3688B">
        <w:rPr>
          <w:rFonts w:ascii="Arial" w:hAnsi="Arial" w:cs="Arial"/>
          <w:b/>
          <w:color w:val="424242" w:themeColor="text1" w:themeShade="BF"/>
          <w:sz w:val="20"/>
          <w:szCs w:val="20"/>
        </w:rPr>
        <w:t xml:space="preserve">AWS GovCloud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constant availability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containerized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system integrations with external services and databases, supporting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interactions, while ensuring secure data exchanges.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scrum ceremonies, enhancing team collaboration and project transparency, successfully delivering projects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queries and service architecture, reducing latency by 30% for high-traffic applications through effective data modeling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compliance with </w:t>
      </w:r>
      <w:r w:rsidRPr="00C3688B">
        <w:rPr>
          <w:rFonts w:ascii="Arial" w:hAnsi="Arial" w:cs="Arial"/>
          <w:b/>
          <w:color w:val="424242" w:themeColor="text1" w:themeShade="BF"/>
          <w:sz w:val="20"/>
          <w:szCs w:val="20"/>
        </w:rPr>
        <w:t xml:space="preserve">DoD cybersecurity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posture of web applications during all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efficient management of code repositories and fostering collaboration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middleware connections to streamline data flow between various platforms and external APIs,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backend services, applying profiling tools to identify bottlenecks and re-engineer code for optimal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enterprise-level content management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digital marketing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implement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leading daily stand-ups, sprint planning, and bi-weekly retrospectives that improved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and maintaining database architecture employing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efficient data storage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documented backend architectural designs, integrating various technologies, including </w:t>
      </w:r>
      <w:r w:rsidRPr="00C3688B">
        <w:rPr>
          <w:rFonts w:ascii="Arial" w:hAnsi="Arial" w:cs="Arial"/>
          <w:b/>
          <w:bCs/>
          <w:color w:val="424242" w:themeColor="text1" w:themeShade="BF"/>
          <w:sz w:val="20"/>
        </w:rPr>
        <w:t xml:space="preserve">Apache Sling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deployed backend modules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the performance of internal applications through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in compliance with </w:t>
      </w:r>
      <w:r w:rsidRPr="00C3688B">
        <w:rPr>
          <w:rFonts w:ascii="Arial" w:hAnsi="Arial" w:cs="Arial"/>
          <w:b/>
          <w:bCs/>
          <w:color w:val="424242" w:themeColor="text1" w:themeShade="BF"/>
          <w:sz w:val="20"/>
        </w:rPr>
        <w:t xml:space="preserve">NIST SP 800-53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identifying security gaps and implementing necessary safeguards.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 for scalability and maintainability while ensuring adherence to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for backend components, enhancing application reliability and reducing regression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user identity system, focusing on backend aspects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API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DevSecOps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incorporating security into the CI/CD pipeline workflows to streamline delivery without compromising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RESTful web services, ensuring data protection and optimal performance across distributed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team environment to deliver features, integrating user feedback into backend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backend processes and integrations, facilitating knowledge transfer and smoother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performance enhancements of backend applications, applying profiling tools and traps to optimize API responses and database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deliver secure and compliant user data services aligned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retrospectives, contributing to process improvement discussions to enhance team efficiency and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