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engineer with over 8 years of experience in AI/ML development and software engineering, adept at architecting innovative AI-driven solutions for enterprise applications. A proven track record in natural language processing and machine learning, combined with extensive expertise in deploying scalable applications to cloud environments. Passionate about transforming leadership development using generative AI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JAX,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Transformers, LLMs,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PySpark,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Conversational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Dialogflow, Rasa, Microsoft 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SaaS 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Salesforce, ServiceNow, B2B SaaS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GDPR, HIPAA,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enterprise-grade AI-driven leadership coaching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deployment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personalized coaching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(LLMs)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significantly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conversational interactions, resulting in a 40% improvement in response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diverse data sources into AI models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 enhanced contextual understanding of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machine learning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achieving high availability for Fortune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lifecycles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across multidisciplinary teams and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of AI features and analyzed user behavior data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product innovation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create user-centric AI applications, focusing on ethical AI practices that maintain user trust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building AI systems, improving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querying efficiency by optimizing SQL queries within a scalable cloud framework, leading to throughput improvements of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AI model deployment processes, fostering consistency in large team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validation processes that increased model performance and reliability, effectively supporting over 1,000 users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generating innovative solutions at high velocity,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Conversational AI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Dialogflow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support ticket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Accomplished the integration of advanced analytics tools ensuring real-time reporting and feedback loops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operational efficiencies in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data visualization, improving client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emphasizing software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and transformation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data handling capabilities and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end-to-end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 model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lifecycle from conceptualization to deployment, ensuring adherence to best practice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team members, fostering an environment of shared learning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a B2B SaaS product integrating customer feedback loops which led to a 20% increase in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key insights into software design and architectural improvements, addressing scalability issues for high-volume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scalable storage and processing of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improving code coverage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multi-tenant applications ensuring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consistent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containerized applications, achieving uptime improvements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driving efforts to deliver robust software features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of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actionable insights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operations and achieving cost reductions of up to 30%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authentication mechanisms ensuring data integrity and user privacy.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