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expertise in building robust web applications using modern frameworks and technologies. Proven track record of delivering high-quality software solutions through collaboration and mentoring while adhering to best practices. Skilled in leading projects through the entire software development life cycle and ensuring seamless integration within diverse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gRPC, Elasticsearch, Databricks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SOLID principles and domain-driven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decisions for high-traffic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processes, boosting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distributed systems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the deployment process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conducting code reviews that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the development of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existing microservices architecture, enhancing data-fetching capabilities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cloud-native solutions that increased service uptime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quality assurance through the automated testing lifecycle,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management and improving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stand-ups, sprint planning, and retrospectives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teams, contributing to continuous process improvement initiatives and team efficiency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monitoring and reporting of system health for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architecture reviews to identify improvements in code quality and maintainability, fostering a culture of continuous learning and open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effective search functionalities in applications, significantly enhancing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maintained knowledge-sharing practices within the team for better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provided strategic recommendations for capacity planning and system scaling, focusing on cost-effective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user experiences for diverse client portfolios.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seamless integration with front-end technologies,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and refine application functionality, driving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transformation initiatives, enabling teams to improve their workflow and increase delivery capacity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environment setup and dependency management, enhancing team collaboration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the performance of cloud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cost-effective and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code reviews and pair programming sessions to enhance code quality and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that included transforming data schemas and optimizing database queries for performance gains.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with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driving client satisfaction through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applications to new technologies, focusing on rearchitecting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testing criteria for critical components, emphasizing the importance of quality checks and effective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stakeholders during the software development life cycle, ensuring alignment on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deployable environments, facilitating a continuous deployment approach in collaboration with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bases by conducting training workshops on emerging technologies and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practices, enhancing communication pathways between different business units and stakeholders for optimized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reporting mechanisms and business intelligence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data-driven decision-making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