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AI/ML Engineer specializing in developing and optimizing AI models for government agencies, with a focus on compliance, security, and efficient cloud and on-premises deployments.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HTTPS,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complex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accuracy for government projects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of AI solutions on cloud and on-premises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processing of large datasets while ensuring compliance with federal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statistical analysis and model training, improving operational efficiency and model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of machine learning models, reducing deployment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data security assessments,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ensuring secure access to sensitive datasets in compliance with federal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translate business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querying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informative dashboards that visualize AI model outputs and KPIs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machine learning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labor hours while maintaining high model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technologies to diverse audiences,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compelling visual representations of data analysis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the best practices in model evaluation and validation, employing techniques like cross-validation and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comprehensive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model performance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AI deployment and model optimization,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technical discussions, advocating for the implementation of scalable architecture patterns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analytics solutions tailored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data extraction and transformation processes, enabling efficiency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to drive innovation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data-intensive applications, enhancing data processing speeds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requirements, contributing to the development of high-level project specifications to align engineering efforts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successful unit testing and integration testing phases for all developed applications, increasing code quality and reducing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APIs for data access and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integration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clear documentation for processes and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coherence in project handovers.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loading and data exploration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workflow of data scientists.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systems, ensuring user security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optimized login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tokens.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stages of software development lifecycle while actively working with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small-scale projects involving data collection and preprocessing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Scrapy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Beautiful Soup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richness for analytical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bootcamps and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front-end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for effective data warehouse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 to critical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phases for machine learning models, involving meticulous checking for robustness and security vulnerabilities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engaging presentations on machine learning trends, employing visualization libraries to simplify technical content for non-technical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version control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traceability of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