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scalable applications and integrating AI models into production environments. Proven track record of developing full-stack solutions and leveraging cloud infrastructure to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Node.js,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GPT-4, LangChain, embeddings, open-source LLMs, retrieval-augmented generation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FAISS, Pinecone, Weaviate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Mistral, LLaMA, Zephyr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AI models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processing workflows and streamline information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enable seamless communication between front-end interfaces and back-end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DynamoDB, improving project delivery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machine learning pipelines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retrieval-augmented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clean code principles to maintain a high code quality across the organization,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product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reliability of the applications under pressure.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data-driven applications, optimizing for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vector search capabilities, allowing for rapid data retrieval that supports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 development cycles and deployments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workshops for junior engineers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audits to ensure compliance with security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security posture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daily stand-ups and sprint reviews which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executed strategies for fine-tuning open-source models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Mistral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AI model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deployed APIs and internal tools, enhancing team transparency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environment, allowing for rapid iterations and enhancements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develop front-end applications for client-facing dashboards, improving user engagement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deploy machine learning models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S3 and SageMaker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code coverage which significantly reduced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high-performance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mission-critical applications through efficient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dynamic data fetching capabilities for client applications, enhancing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 and translated them into technical specifications, ensuring alignment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web applications that support enterprise-level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and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allowing single sign-on capabilities across multiple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constructing REST APIs and managing database connections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database efficiency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 and user experience during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team members on application security principles, emphasizing secure coding practices and the importance of vulnerability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best practices were followed in front-end development, primarily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optimizing legacy systems, ensuring seamless transition and support to newer technologies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development workflows, significantly improving team knowledge sharing and onboarding new engineers.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