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Engineer with over 8 years of expertise in leveraging cutting-edge machine learning algorithms and data-driven methodologies to advance drug discovery through AI. Proven track record in designing innovative solutions for therapeutic antibody development, utilizing extensive experience in deep learning, protein design, and computational biology. Highly skilled in Python, PyTorch, and large-scale model training, driving impactful research and delivering state-of-the-art advancements within fast-paced interdisciplinary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Java, Scala,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PyTorch, TensorFlow, scikit-learn,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Tools:</w:t>
      </w:r>
      <w:r w:rsidRPr="00C3688B">
        <w:rPr>
          <w:rFonts w:ascii="Arial" w:hAnsi="Arial" w:cs="Arial"/>
          <w:color w:val="424242" w:themeColor="text1" w:themeShade="BF"/>
          <w:sz w:val="20"/>
          <w:szCs w:val="20"/>
        </w:rPr>
        <w:t xml:space="preserve"> Pandas, NumPy, SciPy, MATLAB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Modeling Techniques:</w:t>
      </w:r>
      <w:r w:rsidRPr="00C3688B">
        <w:rPr>
          <w:rFonts w:ascii="Arial" w:hAnsi="Arial" w:cs="Arial"/>
          <w:color w:val="424242" w:themeColor="text1" w:themeShade="BF"/>
          <w:sz w:val="20"/>
          <w:szCs w:val="20"/>
        </w:rPr>
        <w:t xml:space="preserve"> Deep Learning, Natural Language Processing, Computer Vision, Molecular Dynamics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Computational Biology Tools:</w:t>
      </w:r>
      <w:r w:rsidRPr="00C3688B">
        <w:rPr>
          <w:rFonts w:ascii="Arial" w:hAnsi="Arial" w:cs="Arial"/>
          <w:color w:val="424242" w:themeColor="text1" w:themeShade="BF"/>
          <w:sz w:val="20"/>
          <w:szCs w:val="20"/>
        </w:rPr>
        <w:t xml:space="preserve"> Rosetta, CHARMM, GROMACS, Docking Software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Visualization Tools:</w:t>
      </w:r>
      <w:r w:rsidRPr="00C3688B">
        <w:rPr>
          <w:rFonts w:ascii="Arial" w:hAnsi="Arial" w:cs="Arial"/>
          <w:color w:val="424242" w:themeColor="text1" w:themeShade="BF"/>
          <w:sz w:val="20"/>
          <w:szCs w:val="20"/>
        </w:rPr>
        <w:t xml:space="preserve"> Matplotlib, Seaborn,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Jupyter Notebooks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Research Tools:</w:t>
      </w:r>
      <w:r w:rsidRPr="00C3688B">
        <w:rPr>
          <w:rFonts w:ascii="Arial" w:hAnsi="Arial" w:cs="Arial"/>
          <w:color w:val="424242" w:themeColor="text1" w:themeShade="BF"/>
          <w:sz w:val="20"/>
          <w:szCs w:val="20"/>
        </w:rPr>
        <w:t xml:space="preserve"> High-Performance Computing, Cloud Computing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Confluence, JIRA,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development of state-of-the-art </w:t>
      </w:r>
      <w:r w:rsidRPr="00C3688B">
        <w:rPr>
          <w:rFonts w:ascii="Arial" w:hAnsi="Arial" w:cs="Arial"/>
          <w:b/>
          <w:color w:val="424242" w:themeColor="text1" w:themeShade="BF"/>
          <w:sz w:val="20"/>
          <w:szCs w:val="20"/>
        </w:rPr>
        <w:t xml:space="preserve">deep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for structure-based </w:t>
      </w:r>
      <w:r w:rsidRPr="00C3688B">
        <w:rPr>
          <w:rFonts w:ascii="Arial" w:hAnsi="Arial" w:cs="Arial"/>
          <w:b/>
          <w:color w:val="424242" w:themeColor="text1" w:themeShade="BF"/>
          <w:sz w:val="20"/>
          <w:szCs w:val="20"/>
        </w:rPr>
        <w:t xml:space="preserve">antibody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robust algorithms that improved candidate generation speed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key challenges in </w:t>
      </w:r>
      <w:r w:rsidRPr="00C3688B">
        <w:rPr>
          <w:rFonts w:ascii="Arial" w:hAnsi="Arial" w:cs="Arial"/>
          <w:b/>
          <w:color w:val="424242" w:themeColor="text1" w:themeShade="BF"/>
          <w:sz w:val="20"/>
          <w:szCs w:val="20"/>
        </w:rPr>
        <w:t xml:space="preserve">antibody sequence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developed innovative, AI-driven solutions by leveraging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molecular dynamics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Iteratively improved design methodologies by analyzing both </w:t>
      </w:r>
      <w:r w:rsidRPr="00C3688B">
        <w:rPr>
          <w:rFonts w:ascii="Arial" w:hAnsi="Arial" w:cs="Arial"/>
          <w:b/>
          <w:color w:val="424242" w:themeColor="text1" w:themeShade="BF"/>
          <w:sz w:val="20"/>
          <w:szCs w:val="20"/>
        </w:rPr>
        <w:t xml:space="preserve">in silico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predictions and experimental validation results using </w:t>
      </w:r>
      <w:r w:rsidRPr="00C3688B">
        <w:rPr>
          <w:rFonts w:ascii="Arial" w:hAnsi="Arial" w:cs="Arial"/>
          <w:b/>
          <w:color w:val="424242" w:themeColor="text1" w:themeShade="BF"/>
          <w:sz w:val="20"/>
          <w:szCs w:val="20"/>
        </w:rPr>
        <w:t xml:space="preserve">statistical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such as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high-impact research papers published in respected journals, focusing on advancements in </w:t>
      </w:r>
      <w:r w:rsidRPr="00C3688B">
        <w:rPr>
          <w:rFonts w:ascii="Arial" w:hAnsi="Arial" w:cs="Arial"/>
          <w:b/>
          <w:color w:val="424242" w:themeColor="text1" w:themeShade="BF"/>
          <w:sz w:val="20"/>
          <w:szCs w:val="20"/>
        </w:rPr>
        <w:t xml:space="preserve">AI antibody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innovative modeling techniques that contributed to plot new drug targets.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on </w:t>
      </w:r>
      <w:r w:rsidRPr="00C3688B">
        <w:rPr>
          <w:rFonts w:ascii="Arial" w:hAnsi="Arial" w:cs="Arial"/>
          <w:b/>
          <w:color w:val="424242" w:themeColor="text1" w:themeShade="BF"/>
          <w:sz w:val="20"/>
          <w:szCs w:val="20"/>
        </w:rPr>
        <w:t xml:space="preserve">large-scale model training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best practices for incorporating </w:t>
      </w:r>
      <w:r w:rsidRPr="00C3688B">
        <w:rPr>
          <w:rFonts w:ascii="Arial" w:hAnsi="Arial" w:cs="Arial"/>
          <w:b/>
          <w:color w:val="424242" w:themeColor="text1" w:themeShade="BF"/>
          <w:sz w:val="20"/>
          <w:szCs w:val="20"/>
        </w:rPr>
        <w:t xml:space="preserve">computer vision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protein design, driving knowledge transfer within the research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predictive model for </w:t>
      </w:r>
      <w:r w:rsidRPr="00C3688B">
        <w:rPr>
          <w:rFonts w:ascii="Arial" w:hAnsi="Arial" w:cs="Arial"/>
          <w:b/>
          <w:color w:val="424242" w:themeColor="text1" w:themeShade="BF"/>
          <w:sz w:val="20"/>
          <w:szCs w:val="20"/>
        </w:rPr>
        <w:t xml:space="preserve">antibody-antigen co-folding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time from model inception to validation through optimization of computational resources and algorithm adjustments.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complex workflows for high-performance computing environments,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experimentation pipeline and ensure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suite of tools for </w:t>
      </w:r>
      <w:r w:rsidRPr="00C3688B">
        <w:rPr>
          <w:rFonts w:ascii="Arial" w:hAnsi="Arial" w:cs="Arial"/>
          <w:b/>
          <w:color w:val="424242" w:themeColor="text1" w:themeShade="BF"/>
          <w:sz w:val="20"/>
          <w:szCs w:val="20"/>
        </w:rPr>
        <w:t xml:space="preserve">molecular modeling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partnering with wet-lab teams to ensure seamless integration of computational predictions with actual validation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innovative AI solutions for therapeutic targets by incorporating </w:t>
      </w:r>
      <w:r w:rsidRPr="00C3688B">
        <w:rPr>
          <w:rFonts w:ascii="Arial" w:hAnsi="Arial" w:cs="Arial"/>
          <w:b/>
          <w:color w:val="424242" w:themeColor="text1" w:themeShade="BF"/>
          <w:sz w:val="20"/>
          <w:szCs w:val="20"/>
        </w:rPr>
        <w:t xml:space="preserve">transfer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resulting in enhanced accuracy of binding predictions.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literature reviews to inform model adjustments and ensure alignment with the latest research findings in </w:t>
      </w:r>
      <w:r w:rsidRPr="00C3688B">
        <w:rPr>
          <w:rFonts w:ascii="Arial" w:hAnsi="Arial" w:cs="Arial"/>
          <w:b/>
          <w:color w:val="424242" w:themeColor="text1" w:themeShade="BF"/>
          <w:sz w:val="20"/>
          <w:szCs w:val="20"/>
        </w:rPr>
        <w:t xml:space="preserve">computational chemistry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biophysics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complex technical concepts to interdisciplinary audiences, utilizing tools like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visually represent data and findings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w:t>
      </w:r>
      <w:r w:rsidRPr="00C3688B">
        <w:rPr>
          <w:rFonts w:ascii="Arial" w:hAnsi="Arial" w:cs="Arial"/>
          <w:b/>
          <w:color w:val="424242" w:themeColor="text1" w:themeShade="BF"/>
          <w:sz w:val="20"/>
          <w:szCs w:val="20"/>
        </w:rPr>
        <w:t xml:space="preserve">Bioinformatics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including </w:t>
      </w:r>
      <w:r w:rsidRPr="00C3688B">
        <w:rPr>
          <w:rFonts w:ascii="Arial" w:hAnsi="Arial" w:cs="Arial"/>
          <w:b/>
          <w:color w:val="424242" w:themeColor="text1" w:themeShade="BF"/>
          <w:sz w:val="20"/>
          <w:szCs w:val="20"/>
        </w:rPr>
        <w:t xml:space="preserve">Rosetta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GROMACS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evaluate physical properties of designed antibodies, assisting in refinement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collaborative environment by integrating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timely tracking of model progression and research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internal portal for researchers to access and contribute to AI modeling efforts, establishing a repository that streamlines resource sharing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several </w:t>
      </w:r>
      <w:r w:rsidRPr="00C3688B">
        <w:rPr>
          <w:rFonts w:ascii="Arial" w:hAnsi="Arial" w:cs="Arial"/>
          <w:b/>
          <w:bCs/>
          <w:color w:val="424242" w:themeColor="text1" w:themeShade="BF"/>
          <w:sz w:val="20"/>
        </w:rPr>
        <w:t xml:space="preserve">AI-driven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system design and integrations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to facilitate real-time data processing, integrating cloud services to enhance application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complex datasets using </w:t>
      </w:r>
      <w:r w:rsidRPr="00C3688B">
        <w:rPr>
          <w:rFonts w:ascii="Arial" w:hAnsi="Arial" w:cs="Arial"/>
          <w:b/>
          <w:bCs/>
          <w:color w:val="424242" w:themeColor="text1" w:themeShade="BF"/>
          <w:sz w:val="20"/>
        </w:rPr>
        <w:t xml:space="preserve">machine learning techniques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derive actionable insights, resulting in a 20% increase in platform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automated testing frameworks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feature reliability, integrating with CI/CD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project teams to design solutions that increased user engagement through enhanced user interface experiences powered by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comprehensive documentation and performance reports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visual aids to communicate project benchmarks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participating in daily scrums and contributing to sprint planning sessions to optimize delivery schedules and project outputs.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optimization of data pipelines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large-scale data processing and analytics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access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protocols and user authentication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lifecycle planning and execution, implementing features that increased system resilience and performance under load,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data storage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client projects involving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focusing on deploying scalable applications optimized for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integrity and facilitate team collaboration, enforcing best practices for coding standards and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troubleshooting and enhancing legacy systems using modern practices, integrating automation tools that improved operational efficiency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research efforts in enhancing usability features, gathering user feedback to iterate product features effectively during beta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integrations with third-party services, ensuring seamless interoperability across platforms and protocols using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collective team effort that achieved a critical project deadline ahead of schedule through diligent work ethic and problem-solving skills.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