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AI, Machine Learning, and Software Development. Proficient in Python, TensorFlow, and various middleware technologies, dedicated to delivering innovative solutions. Proven expertise in developing scalable applications and enhancing system performance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Django, Flask, Pandas, NumPy,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Jenkins,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Power BI,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Scikit-learn, OpenCV, SpaCy, NLTK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Continuous Integration, Continuous Deployment,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-driven analytics platform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of machine learning models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of Python applications,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integration with external services and applications, enhancing system interoperability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machine learning algorithms to process and analyze large datasets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predictive accuracy improvements of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deploying machine learning models, ensuring high availability and scalability in client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design and implement data-driven solutions, receiving recognition for successful project completions under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for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data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Team lead on developing interactive data visualizations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stakeholders in data analysis and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effective use of software development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image processing in a machine learning project focused on applications in the healthcare sector, significantly improving diagnostics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data storage and machine learning model hosting, streamlining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unit and integration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software performance, achieving a 95% test coverage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architectural design of REST APIs, working closely with UX/UI teams to enhance user experiences with robust backend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35% reduction in system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various client applications and optimize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solutions by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predictive analytics capabilities for business intelligence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management teams to define functional requirements and translate them into technical deliverables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real-time data processing platform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consumers developed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reliability and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 bases and improved software performance by implementing best coding practices and conducting detailed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architectures to microservices, resulting in improved scalability and maintenance of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system robustness against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for various web applications, improving overall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cloud-based infrastructure, streamlining deployment processes for multiple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performance testing of applications, significantly reducing manual testing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analytics projects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actionable insights from large datasets for business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updates and strategies, fostering an environment of open communication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software documentation and conducted training workshops to facilitate knowledge transfer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