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Analytical and innovative Senior Engineer with extensive experience in utilizing AI and emerging technologies to drive growth initiatives. Skilled in collaborating with cross-functional teams to identify opportunities for enhancing customer experiences through technology. Passionate about leveraging data and analytics to influence decision-making and improve service delivery in the fintech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Flask,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Hadoop,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NoSQL, HTML5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AI-driven mortgage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lending processes and enhance customer experiences, leading to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 and actionable insights, resulting in a 25% increase in marketing campaign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product development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delivery of AI-driven features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data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analyzing customer behavior patterns, influencing marketing strategies and product offerings, contributing to a 15% increase in sales.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engineers and product leaders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enhancing user interaction and engagement across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 processes to streamline project workflows across multiple teams, enhancing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marketing strategies, guiding teams on leveraging insights to innovate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metrics for evaluating the success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utilizing data from various analytics platforms, leading to a 40% boost in web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sales and external partners to identify market opportunities using data-driven insights, propelling strategic initiatives to improve customer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for SEO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15% increase in organic search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company’s tech stack by evaluating and integrating new technologies, ensuring alignment with future growth strategies in the fintech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increase process efficiencies, reducing overhead costs by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on usability, translating insights into actionable product improvements that directly addressed user pain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web applications, achieving a 40% increase in user engagement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AI techniques for customer segmentation and targeting in marketing campaigns, resulting in improved conversion rates and enhanced user personalization.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applications, ensuring optimal performance and reliability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facilitate smooth data exchanges between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ensuring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collaboration, increasing delivery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interfaces, enhancing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presented findings in stakeholder meetings, influencing strategic decisions regarding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client-facing roles to understand project requirements and delivered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protection on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software issues in a fast-paced environment, improving response times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the flexibility of queries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define system architecture and technical requirements, documenting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performance-critical components of financial services applications, enhancing processing speed by 20% over previous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application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analytics tools to identify bottlenecks, resulting in application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deliver cohesive products, aligning business goals with system capabilities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 management tasks, automating routine processes and reducing administrative overhead.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