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.NET Developer with over 10 years of experience in building scalable and complex web applications using robust technologies such as .NET Core, SQL Server, and Angular. Proven expertise in Agile methodologies and a strong understanding of coding standards and design patterns, complemented by hands-on experience in mentoring junior developers and enhancing team collaboration. Engaged in driving innovative solutions while adhering to best practices, resulting in efficient and high-quality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Angular, Entity Framework,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2016, Oracle, MSSQL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Jenkins, Ansible, MS Build,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NUnit, XUnit, Jasmine, Karma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PowerShell, RESTful APIs, JIRA,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 Server 2016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leading to improved application performance and reduced bug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improving software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tests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a robust application while utilizing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component-driven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participating in sprints to drive rapid delivery of high-quality software solutions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integrating with third-party systems, promoting seamless data exchange and system interoperability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optimization of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 performance and efficient data retrieval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team coding standards and maintained high standards of software quality throughout the software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system administration tasks, significantly decreasing manual effort and improving operations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Kendo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 web applications to create modern, responsive user interfaces, thereby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issues, facilitating superior project management and team collaboration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ensuring reliable releases and continuous integration while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business intelligence solutions by writing complex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using data modeling techniques for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and efficient web services, emphasizing the use of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principles for better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web applications with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existing frameworks by integrating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database design efforts in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schema implementations and ETL processes to handle large volumes of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sessions and made architectural recommendations resulting in a 20% improvement in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mechanisms for web applications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reducing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automated tests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test coverage and application reliability during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and facilitating seamless team collaboration on shared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transform them into technical specifications for web application development while fostering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APIs for faster responses and lower latency, leading to improved client-side performance of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best practices were followed to protect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legacy systems to modern architecture leveraging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enhanced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database-related issues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performance.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applications across staging and production using </w:t>
      </w:r>
      <w:r w:rsidRPr="00C3688B">
        <w:rPr>
          <w:rFonts w:ascii="Arial" w:hAnsi="Arial" w:cs="Arial"/>
          <w:b/>
          <w:bCs/>
          <w:color w:val="424242" w:themeColor="text1" w:themeShade="BF"/>
          <w:sz w:val="20"/>
        </w:rPr>
        <w:t xml:space="preserve">MS Build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quickly to shifting environments and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projects, ensuring timely delivery of project milestones in an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logging and monitoring using </w:t>
      </w:r>
      <w:r w:rsidRPr="00C3688B">
        <w:rPr>
          <w:rFonts w:ascii="Arial" w:hAnsi="Arial" w:cs="Arial"/>
          <w:b/>
          <w:bCs/>
          <w:color w:val="424242" w:themeColor="text1" w:themeShade="BF"/>
          <w:sz w:val="20"/>
        </w:rPr>
        <w:t xml:space="preserve">Application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insights into application behavior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scalable database architectures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data management practices with organizational needs and growth plans.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documentation efforts, ensuring that project details were accurately captured, facilitating knowledge transfer and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