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.NET development, specializing in architectural design and scalable solutions. Proven ability to lead technical discussions and implement innovative solutions in the electronic prescribing software market, with a strong background in healthcare technology. Dedicated to driving efficiency and performance through best practices in C#, .NET Core, and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Web API,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Azure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Domain-driven Design, Event-driven Architecture,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improved system performance by 30% through optimized database querying techniques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system scalability and maintainability, resulting in a 25%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and delivery, enhancing the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event-driven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performance optimization for enterprise applications, employing techniques such as load balancing and distributed caching, effectively handling increased transaction volumes.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project requirements and ensure alignment with business needs, increasing project success rate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asynchronous communication between microservices, enhancing system reliability and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specific project needs, successfully migrating legacy systems and achieving a 20% increase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secure APIs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significantly enhancing security measures in the application suite.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proof-of-concept projects to explore emerging technologies such as serverless architectures and NoSQL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guiding technology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architectural discussions to drive innovation and enhance system design for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implementing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tailored for integration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user experience through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increase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diverse project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version control and project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object-oriented design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maintainable and extensible code bases, ensuring long-term project sustainability.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optimize database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through indexing and execution plan analysis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services,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for deploying web applications, enabling flexible resource allocation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healthcare-focused project that involved secure data transmissions, adhering to HIPAA compliance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measures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workshops to educate team members on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significantly reducing deployment times for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mechanisms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security in user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enterprise applications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 principles to enhance cross-device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asynchronous communication, ensuring reliability and scalability for distributed systems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for healthcare IT solutions, aligning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sessions and code performance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participating in sprint planning and retrospective meetings to refine processes and improve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related to system architecture and configuration for internal knowledge sharing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design sessions to facilitate alignment between technical solutions and business requirements, effectively capturing stakeholder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