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software engineer with over 10 years of backend development expertise, specializing in AI platform enablement and LLM systems. Proficient in creating scalable solutions that enhance operational efficiencies while ensuring robust system performance and safety. Proven track record of communicating effectively across technical and non-technical teams, fostering collaboration and driving project success.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Java, Go, JavaScript, TypeScript,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Tools</w:t>
      </w:r>
      <w:r>
        <w:rPr>
          <w:rFonts w:ascii="Arial" w:hAnsi="Arial" w:cs="Arial"/>
          <w:color w:val="403100" w:themeColor="accent5" w:themeShade="40"/>
        </w:rPr>
        <w:t xml:space="preserve">: Django, Flask, Spring Boot, Node.js, React, Vue.js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and ML Technologies</w:t>
      </w:r>
      <w:r>
        <w:rPr>
          <w:rFonts w:ascii="Arial" w:hAnsi="Arial" w:cs="Arial"/>
          <w:color w:val="403100" w:themeColor="accent5" w:themeShade="40"/>
        </w:rPr>
        <w:t xml:space="preserve">: Large Language Models (LLM), RAG pipelines, Deep Learning, TensorFlow, PyTorch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and Infrastructure</w:t>
      </w:r>
      <w:r>
        <w:rPr>
          <w:rFonts w:ascii="Arial" w:hAnsi="Arial" w:cs="Arial"/>
          <w:color w:val="403100" w:themeColor="accent5" w:themeShade="40"/>
        </w:rPr>
        <w:t xml:space="preserve">: Docker, Kubernetes, AWS, Azure,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Observability and Monitoring Tools</w:t>
      </w:r>
      <w:r>
        <w:rPr>
          <w:rFonts w:ascii="Arial" w:hAnsi="Arial" w:cs="Arial"/>
          <w:color w:val="403100" w:themeColor="accent5" w:themeShade="40"/>
        </w:rPr>
        <w:t xml:space="preserve">: Prometheus, Grafana, ELK Stack, Splunk, DataDog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 and Practices</w:t>
      </w:r>
      <w:r>
        <w:rPr>
          <w:rFonts w:ascii="Arial" w:hAnsi="Arial" w:cs="Arial"/>
          <w:color w:val="403100" w:themeColor="accent5" w:themeShade="40"/>
        </w:rPr>
        <w:t xml:space="preserve">: Agile Development, Continuous Integration/Continuous Deployment (CI/CD), Test-Driven Development (TDD), Infrastructure as Code (IaC), Microservices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backend systems that enable rapid prototyping of AI solutions,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infrastructure for </w:t>
      </w:r>
      <w:r>
        <w:rPr>
          <w:rFonts w:ascii="Arial" w:hAnsi="Arial" w:cs="Arial"/>
          <w:b/>
          <w:bCs/>
          <w:color w:val="403100" w:themeColor="accent5" w:themeShade="40"/>
        </w:rPr>
        <w:t xml:space="preserve">LLM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systems and </w:t>
      </w:r>
      <w:r>
        <w:rPr>
          <w:rFonts w:ascii="Arial" w:hAnsi="Arial" w:cs="Arial"/>
          <w:b/>
          <w:bCs/>
          <w:color w:val="403100" w:themeColor="accent5" w:themeShade="40"/>
        </w:rPr>
        <w:t xml:space="preserve">RAG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performance and low latency 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observability tools into existing frameworks to enhance system monitoring and incident response capabilities,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gather requirements and translate them into robust technical specifications, improving project alignment.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deployed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architecture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services like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scalable application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deployment processes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minimizing manual interventions and improving deployment speed.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shared libraries and toolkits, contributing to a more uniform development practices across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policies-as-code to ensure compliance and security within AI environments, utilizing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comprehensive documentation and training materials for internal stakeholders, enhancing the knowledge-sharing culture related to AI functionalities.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design discussions, promoting best practices in software development and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rate limiting and cost attribution measures for AI service usage to optimize resource allocation and spending.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Structured context artifacts for internal knowledge sharing, facilitating better utilization of </w:t>
      </w:r>
      <w:r>
        <w:rPr>
          <w:rFonts w:ascii="Arial" w:hAnsi="Arial" w:cs="Arial"/>
          <w:b/>
          <w:bCs/>
          <w:color w:val="403100" w:themeColor="accent5" w:themeShade="40"/>
        </w:rPr>
        <w:t xml:space="preserve">LLM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capabilities in business-critical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sandbox environments for non-engineers to experiment with AI deployment, successfully lowering the barrier to entry for technology adoption.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workshops to demonstrate the capabilities of the AI platform and gather feedback on user experience for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evaluation harnesses to test AI models in controlled settings before production rollout.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backend services for scalable AI applications, focusing on performance optimization and reliability, primarily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the integration of machine learning model inference into production systems, employing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various ML libraries.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RESTful APIs to facilitate communication between frontend services and backend resources, ensuring seamless data flow.</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regular code refactoring sessions to improve code quality and maintainability, applying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local development and testing, streamlining the deployment process across different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continuous integration/continuous deployment (CI/CD) pipelines to improve software delivery cycle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system architecture discussions to define optimal strategies for data storage and retrieval, enhancing application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system monitoring initiatives through the implementation of observability tools and performance metrics analysis using </w:t>
      </w:r>
      <w:r>
        <w:rPr>
          <w:rFonts w:ascii="Arial" w:hAnsi="Arial" w:cs="Arial"/>
          <w:b/>
          <w:bCs/>
          <w:color w:val="403100" w:themeColor="accent5" w:themeShade="40"/>
        </w:rPr>
        <w:t xml:space="preserve">DataDog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Authored detailed technical documentation for existing systems to aid onboarding and reference for new team members.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product managers to translate business requirements into technical tasks, bridging the gap between teams.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and load testing to ensure applications could handle expected traffic, adjusting architectural components as necessary.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system security protocols by integrating various authentication methods to safeguard sensitive data.</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and maintenance of web applications by utilizing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user interfaces.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backend services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Flask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supporting the development of new features based on user feedback.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strategies within development workflows to ensure the reliability of new code changes through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migration of legacy systems to modern frameworks, enhancing maintainability and scalability of the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and sprint planning meetings, gaining insights into Agile development practices and team dynamics.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design efficient database schemas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software features and user guides, enhancing project clarity and user onboarding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data cleaning and validation processes, ensuring high-quality datasets for machine learning models.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pair programming sessions to build collaborative coding skills and strengthen project outcomes.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cloud services by deploying applications on </w:t>
      </w:r>
      <w:r>
        <w:rPr>
          <w:rFonts w:ascii="Arial" w:hAnsi="Arial" w:cs="Arial"/>
          <w:b/>
          <w:bCs/>
          <w:color w:val="403100" w:themeColor="accent5" w:themeShade="40"/>
        </w:rPr>
        <w:t xml:space="preserve">Heroku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optimizing configurations for performance.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