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docProps/app.xml" ContentType="application/vnd.openxmlformats-officedocument.extended-properties+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Types>
</file>

<file path=_rels/.rels>&#65279;<?xml version="1.0" encoding="utf-8"?><Relationships xmlns="http://schemas.openxmlformats.org/package/2006/relationships"><Relationship Id="R1" Type="http://schemas.openxmlformats.org/officeDocument/2006/relationships/officeDocument" Target="/word/document.xml" /><Relationship Id="coreR1" Type="http://schemas.openxmlformats.org/package/2006/relationships/metadata/core-properties" Target="/docProps/core.xml" /><Relationship Id="appR1"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body>
    <w:p>
      <w:pPr>
        <w:jc w:val="center"/>
        <w:rPr>
          <w:sz w:val="48"/>
          <w:szCs w:val="48"/>
        </w:rPr>
      </w:pPr>
      <w:r>
        <w:rPr>
          <w:rFonts w:ascii="Cascadia Code SemiBold" w:hAnsi="Cascadia Code SemiBold"/>
          <w:color w:val="3F3F3F"/>
          <w:sz w:val="48"/>
          <w:szCs w:val="48"/>
        </w:rPr>
        <w:t>Brian Clark</w:t>
      </w:r>
    </w:p>
    <w:p>
      <w:pPr>
        <w:spacing w:before="240" w:after="240" w:beforeAutospacing="0" w:afterAutospacing="0"/>
        <w:jc w:val="center"/>
        <w:rPr>
          <w:rFonts w:cs="Arial"/>
          <w:color w:val="434343" w:themeColor="text1" w:themeShade="BF"/>
          <w:sz w:val="24"/>
          <w:szCs w:val="24"/>
          <w:spacing w:val="36"/>
          <w:lang w:eastAsia="de-DE"/>
        </w:rPr>
      </w:pPr>
      <w:r>
        <w:rPr>
          <w:rFonts w:cs="Arial"/>
          <w:color w:val="434343" w:themeColor="text1" w:themeShade="BF"/>
          <w:sz w:val="24"/>
          <w:szCs w:val="24"/>
          <w:spacing w:val="36"/>
          <w:lang w:eastAsia="de-DE"/>
        </w:rPr>
        <w:t xml:space="preserve">Senior Software Engineer</w:t>
      </w:r>
    </w:p>
    <w:p>
      <w:pPr>
        <w:tabs>
          <w:tab w:val="right" w:pos="10080" w:leader="none"/>
        </w:tabs>
        <w:ind w:hanging="180" w:left="-180" w:right="-414"/>
        <w:jc w:val="center"/>
        <w:rPr>
          <w:rFonts w:cs="Arial" w:eastAsia="Arial Unicode MS"/>
          <w:color w:val="434343" w:themeColor="text1" w:themeShade="BF"/>
          <w:sz w:val="20"/>
          <w:szCs w:val="20"/>
        </w:rPr>
      </w:pPr>
      <w:r>
        <w:rPr>
          <w:rFonts w:cs="Arial" w:eastAsia="Arial Unicode MS"/>
          <w:color w:val="434343" w:themeColor="text1" w:themeShade="BF"/>
          <w:sz w:val="20"/>
          <w:szCs w:val="20"/>
          <w:rtl w:val="0"/>
          <w:lang w:val="en-US" w:bidi="en-US" w:eastAsia="en-US"/>
        </w:rPr>
        <w:t>Endicott</w:t>
      </w:r>
      <w:r>
        <w:rPr>
          <w:rFonts w:cs="Arial" w:eastAsia="Arial Unicode MS"/>
          <w:color w:val="434343" w:themeColor="text1" w:themeShade="BF"/>
          <w:sz w:val="20"/>
          <w:szCs w:val="20"/>
        </w:rPr>
        <w:t xml:space="preserve">, NY, </w:t>
      </w:r>
      <w:r>
        <w:rPr>
          <w:rFonts w:cs="Arial" w:eastAsia="Arial Unicode MS"/>
          <w:color w:val="434343" w:themeColor="text1" w:themeShade="BF"/>
          <w:sz w:val="20"/>
          <w:szCs w:val="20"/>
          <w:rtl w:val="0"/>
          <w:lang w:val="en-US" w:bidi="en-US" w:eastAsia="en-US"/>
        </w:rPr>
        <w:t>13760</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321</w:t>
      </w:r>
      <w:r>
        <w:rPr>
          <w:rFonts w:cs="Arial" w:eastAsia="Arial Unicode MS"/>
          <w:color w:val="434343" w:themeColor="text1" w:themeShade="BF"/>
          <w:sz w:val="20"/>
          <w:szCs w:val="20"/>
        </w:rPr>
        <w:t xml:space="preserve">) </w:t>
      </w:r>
      <w:r>
        <w:rPr>
          <w:rFonts w:cs="Arial" w:eastAsia="Arial Unicode MS"/>
          <w:color w:val="434343" w:themeColor="text1" w:themeShade="BF"/>
          <w:sz w:val="20"/>
          <w:szCs w:val="20"/>
          <w:rtl w:val="0"/>
          <w:lang w:val="en-US" w:bidi="en-US" w:eastAsia="en-US"/>
        </w:rPr>
        <w:t>209</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2647</w:t>
      </w:r>
      <w:r>
        <w:rPr>
          <w:rFonts w:cs="Arial" w:eastAsia="Arial Unicode MS"/>
          <w:color w:val="434343" w:themeColor="text1" w:themeShade="BF"/>
          <w:sz w:val="20"/>
          <w:szCs w:val="20"/>
        </w:rPr>
        <w:t xml:space="preserve"> | </w:t>
      </w:r>
      <w:r>
        <w:rPr>
          <w:rFonts w:cs="Arial" w:eastAsia="Arial Unicode MS"/>
          <w:color w:val="434343" w:themeColor="text1" w:themeShade="BF"/>
          <w:sz w:val="20"/>
          <w:szCs w:val="20"/>
          <w:rtl w:val="0"/>
          <w:lang w:val="en-US" w:bidi="en-US" w:eastAsia="en-US"/>
        </w:rPr>
        <w:t>brianclark1021@hotmail.com</w:t>
      </w:r>
      <w:r>
        <w:rPr>
          <w:sz w:val="20"/>
          <w:szCs w:val="20"/>
        </w:rPr>
        <w:t xml:space="preserve"> </w:t>
      </w:r>
    </w:p>
    <w:p>
      <w:pPr>
        <w:rPr>
          <w:rFonts w:cs="Arial"/>
          <w:color w:val="434343" w:themeColor="text1" w:themeShade="BF"/>
        </w:rPr>
      </w:pPr>
    </w:p>
    <w:p>
      <w:pPr>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PROFESSIONAL SUMMARY</w:t>
      </w:r>
    </w:p>
    <w:p>
      <w:pPr>
        <w:tabs>
          <w:tab w:val="right" w:pos="10080" w:leader="none"/>
        </w:tabs>
        <w:spacing w:lineRule="auto" w:line="276" w:beforeAutospacing="0" w:afterAutospacing="0"/>
        <w:ind w:left="2448"/>
        <w:rPr>
          <w:rFonts w:cs="Arial"/>
          <w:iCs w:val="1"/>
          <w:color w:val="434343" w:themeColor="text1" w:themeShade="BF"/>
        </w:rPr>
      </w:pPr>
    </w:p>
    <w:p>
      <w:pPr>
        <w:spacing w:lineRule="auto" w:line="288" w:beforeAutospacing="0" w:afterAutospacing="0"/>
        <w:rPr>
          <w:rFonts w:cs="Arial"/>
          <w:iCs w:val="1"/>
          <w:color w:val="434343" w:themeColor="text1" w:themeShade="BF"/>
          <w:sz w:val="20"/>
        </w:rPr>
      </w:pPr>
      <w:r>
        <w:rPr>
          <w:rFonts w:cs="Arial"/>
          <w:iCs w:val="1"/>
          <w:color w:val="434343" w:themeColor="text1" w:themeShade="BF"/>
          <w:sz w:val="20"/>
        </w:rPr>
        <w:t xml:space="preserve">Results-driven and innovative Senior Infrastructure Engineer with over 10 years of experience in software development, specializing in cloud architecture, DevOps practices, and SaaS solutions that enhance operational efficiency and resiliency across multi-region environments. Proficient in automation, I thrive in high-pressure scenarios, ensuring systems are robust while maintaining strong partnerships across development teams to optimize performance.</w:t>
      </w:r>
    </w:p>
    <w:p>
      <w:pPr>
        <w:spacing w:before="120" w:beforeAutospacing="0" w:afterAutospacing="0"/>
        <w:rPr>
          <w:rFonts w:cs="Arial"/>
          <w:color w:val="434343" w:themeColor="text1" w:themeShade="BF"/>
          <w:sz w:val="20"/>
          <w:szCs w:val="20"/>
        </w:rPr>
      </w:pPr>
    </w:p>
    <w:p>
      <w:pPr>
        <w:spacing w:lineRule="auto" w:line="276" w:beforeAutospacing="0" w:afterAutospacing="0"/>
        <w:rPr>
          <w:rFonts w:cs="Arial"/>
          <w:color w:val="434343" w:themeColor="text1" w:themeShade="BF"/>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SKILLS</w:t>
      </w:r>
    </w:p>
    <w:p>
      <w:pPr>
        <w:spacing w:lineRule="auto" w:line="276" w:beforeAutospacing="0" w:afterAutospacing="0"/>
        <w:rPr>
          <w:rFonts w:cs="Arial" w:eastAsia="Arial"/>
          <w:color w:val="434343" w:themeColor="text1" w:themeShade="BF"/>
        </w:rPr>
      </w:pPr>
    </w:p>
    <w:p>
      <w:pPr>
        <w:spacing w:lineRule="auto" w:line="276" w:beforeAutospacing="0" w:afterAutospacing="0"/>
        <w:rPr>
          <w:rFonts w:cs="Arial" w:eastAsia="Arial"/>
          <w:color w:val="434343" w:themeColor="text1" w:themeShade="BF"/>
          <w:sz w:val="20"/>
        </w:rPr>
        <w:sectPr>
          <w:footnotePr/>
          <w:endnotePr/>
          <w:type w:val="continuous"/>
          <w:pgMar w:left="720" w:right="720" w:top="720" w:bottom="720" w:header="720" w:footer="720" w:gutter="0"/>
          <w:cols w:equalWidth="1" w:space="720"/>
        </w:sectPr>
      </w:pPr>
      <w:r>
        <w:rPr>
          <w:rFonts w:cs="Arial"/>
          <w:b w:val="1"/>
          <w:color w:val="434343" w:themeColor="text1" w:themeShade="BF"/>
          <w:sz w:val="24"/>
          <w:spacing w:val="36"/>
        </w:rPr>
        <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Cloud Infrastructure:</w:t>
      </w:r>
      <w:r>
        <w:rPr>
          <w:rFonts w:ascii="Arial" w:hAnsi="Arial" w:cs="Arial"/>
          <w:color w:val="434343" w:themeColor="text1" w:themeShade="BF"/>
          <w:sz w:val="20"/>
          <w:szCs w:val="20"/>
        </w:rPr>
        <w:t xml:space="preserve"> AWS, Azure, GCP, Kubernetes, Terraform, Ansible, Helm, Docker</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Monitoring &amp; Observability:</w:t>
      </w:r>
      <w:r>
        <w:rPr>
          <w:rFonts w:ascii="Arial" w:hAnsi="Arial" w:cs="Arial"/>
          <w:color w:val="434343" w:themeColor="text1" w:themeShade="BF"/>
          <w:sz w:val="20"/>
          <w:szCs w:val="20"/>
        </w:rPr>
        <w:t xml:space="preserve"> Prometheus, Grafana, Mimir, Thanos, Elastic Stack</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Programming Languages:</w:t>
      </w:r>
      <w:r>
        <w:rPr>
          <w:rFonts w:ascii="Arial" w:hAnsi="Arial" w:cs="Arial"/>
          <w:color w:val="434343" w:themeColor="text1" w:themeShade="BF"/>
          <w:sz w:val="20"/>
          <w:szCs w:val="20"/>
        </w:rPr>
        <w:t xml:space="preserve"> Python, Go, TypeScript, Bash, JavaScript</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Database Management:</w:t>
      </w:r>
      <w:r>
        <w:rPr>
          <w:rFonts w:ascii="Arial" w:hAnsi="Arial" w:cs="Arial"/>
          <w:color w:val="434343" w:themeColor="text1" w:themeShade="BF"/>
          <w:sz w:val="20"/>
          <w:szCs w:val="20"/>
        </w:rPr>
        <w:t xml:space="preserve"> PostgreSQL, MySQL, MongoDB, Redis, DynamoDB</w:t>
      </w:r>
    </w:p>
    <w:p>
      <w:pPr>
        <w:pStyle w:val="P5"/>
        <w:numPr>
          <w:ilvl w:val="0"/>
          <w:numId w:val="8"/>
        </w:num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tabs>
          <w:tab w:val="right" w:pos="9916" w:leader="none"/>
        </w:tabs>
        <w:spacing w:lineRule="auto" w:line="276" w:beforeAutospacing="0" w:afterAutospacing="0"/>
        <w:rPr>
          <w:rFonts w:ascii="Arial" w:hAnsi="Arial" w:cs="Arial"/>
          <w:color w:val="434343" w:themeColor="text1" w:themeShade="BF"/>
          <w:sz w:val="20"/>
          <w:szCs w:val="20"/>
        </w:rPr>
      </w:pPr>
      <w:r>
        <w:rPr>
          <w:rFonts w:ascii="Arial" w:hAnsi="Arial" w:cs="Arial"/>
          <w:b w:val="1"/>
          <w:color w:val="434343" w:themeColor="text1" w:themeShade="BF"/>
          <w:sz w:val="20"/>
          <w:szCs w:val="20"/>
        </w:rPr>
        <w:t xml:space="preserve">CI/CD and Automation:</w:t>
      </w:r>
      <w:r>
        <w:rPr>
          <w:rFonts w:ascii="Arial" w:hAnsi="Arial" w:cs="Arial"/>
          <w:color w:val="434343" w:themeColor="text1" w:themeShade="BF"/>
          <w:sz w:val="20"/>
          <w:szCs w:val="20"/>
        </w:rPr>
        <w:t xml:space="preserve"> Jenkins, GitLab CI, CircleCI, Argo CD, Spinnaker</w:t>
      </w:r>
    </w:p>
    <w:p>
      <w:pPr>
        <w:pStyle w:val="P5"/>
        <w:numPr>
          <w:ilvl w:val="0"/>
          <w:numId w:val="8"/>
        </w:numPr>
        <w:spacing w:lineRule="auto" w:line="312" w:after="40" w:beforeAutospacing="0" w:afterAutospacing="0"/>
        <w:rPr>
          <w:rFonts w:ascii="Arial" w:hAnsi="Arial" w:cs="Arial" w:eastAsia="Arial"/>
          <w:color w:val="434343" w:themeColor="text1" w:themeShade="BF"/>
          <w:sz w:val="20"/>
        </w:rPr>
        <w:sectPr>
          <w:footnotePr/>
          <w:endnotePr/>
          <w:type w:val="continuous"/>
          <w:pgMar w:left="720" w:right="720" w:top="720" w:bottom="720" w:header="720" w:footer="720" w:gutter="0"/>
          <w:cols w:equalWidth="1" w:space="720"/>
        </w:sectPr>
      </w:pPr>
    </w:p>
    <w:p>
      <w:pPr>
        <w:spacing w:lineRule="auto" w:line="276" w:beforeAutospacing="0" w:afterAutospacing="0"/>
        <w:rPr>
          <w:rFonts w:cs="Arial"/>
          <w:color w:val="434343" w:themeColor="text1" w:themeShade="BF"/>
          <w:lang w:val="fr-FR"/>
        </w:rPr>
      </w:pPr>
    </w:p>
    <w:p>
      <w:pPr>
        <w:pStyle w:val="P4"/>
        <w:spacing w:lineRule="auto" w:line="276" w:beforeAutospacing="0" w:afterAutospacing="0"/>
        <w:jc w:val="center"/>
        <w:rPr>
          <w:b w:val="0"/>
          <w:color w:val="434343" w:themeColor="text1" w:themeShade="BF"/>
          <w:spacing w:val="36"/>
        </w:rPr>
      </w:pPr>
      <w:r>
        <w:rPr>
          <w:b w:val="0"/>
          <w:color w:val="434343" w:themeColor="text1" w:themeShade="BF"/>
          <w:sz w:val="24"/>
          <w:spacing w:val="36"/>
        </w:rPr>
        <w:t>WORK EXPERIENCE</w:t>
      </w:r>
    </w:p>
    <w:p>
      <w:pPr>
        <w:tabs>
          <w:tab w:val="right" w:pos="10800" w:leader="none"/>
        </w:tabs>
        <w:spacing w:lineRule="auto" w:line="276" w:beforeAutospacing="0" w:afterAutospacing="0"/>
        <w:ind w:left="2448"/>
        <w:rPr>
          <w:rFonts w:cs="Arial"/>
          <w:b w:val="1"/>
          <w:color w:val="434343" w:themeColor="text1" w:themeShade="BF"/>
        </w:rPr>
      </w:pPr>
    </w:p>
    <w:p>
      <w:pPr>
        <w:tabs>
          <w:tab w:val="right" w:pos="10710" w:leader="none"/>
        </w:tabs>
        <w:spacing w:lineRule="auto" w:line="252" w:beforeAutospacing="0" w:afterAutospacing="0"/>
        <w:ind w:right="90"/>
        <w:rPr>
          <w:rFonts w:cs="Arial" w:eastAsia="Cambria"/>
          <w:color w:val="434343" w:themeColor="text1" w:themeShade="BF"/>
          <w:sz w:val="21"/>
          <w:szCs w:val="21"/>
        </w:rPr>
      </w:pPr>
      <w:r>
        <w:rPr>
          <w:rFonts w:cs="Arial"/>
          <w:b w:val="1"/>
          <w:color w:val="434343" w:themeColor="text1" w:themeShade="BF"/>
          <w:sz w:val="24"/>
          <w:szCs w:val="24"/>
          <w:rtl w:val="0"/>
          <w:lang w:val="en-US" w:bidi="en-US" w:eastAsia="en-US"/>
        </w:rPr>
        <w:t>Codebridge, Wilmington, DE</w:t>
      </w:r>
      <w:r>
        <w:rPr>
          <w:rFonts w:cs="Arial"/>
          <w:b w:val="1"/>
          <w:color w:val="434343" w:themeColor="text1" w:themeShade="BF"/>
          <w:sz w:val="24"/>
          <w:szCs w:val="24"/>
        </w:rPr>
        <w:t>, Remote</w:t>
      </w:r>
      <w:r>
        <w:rPr>
          <w:rFonts w:cs="Arial" w:eastAsia="Cambria"/>
          <w:color w:val="434343" w:themeColor="text1" w:themeShade="BF"/>
          <w:sz w:val="21"/>
          <w:szCs w:val="21"/>
        </w:rPr>
        <w:t xml:space="preserve"> – </w:t>
      </w:r>
      <w:r>
        <w:rPr>
          <w:rFonts w:cs="Arial"/>
          <w:b w:val="1"/>
          <w:bCs w:val="1"/>
          <w:color w:val="434343" w:themeColor="text1" w:themeShade="BF"/>
          <w:sz w:val="20"/>
        </w:rPr>
        <w:t xml:space="preserve">Senior Software Engineer</w:t>
      </w:r>
      <w:r>
        <w:rPr>
          <w:rFonts w:cs="Arial" w:eastAsia="Cambria"/>
          <w:color w:val="434343" w:themeColor="text1" w:themeShade="BF"/>
          <w:sz w:val="21"/>
          <w:szCs w:val="21"/>
        </w:rPr>
        <w:t xml:space="preserve"> </w:t>
      </w:r>
      <w:bookmarkStart w:id="0" w:name="_GoBack"/>
      <w:bookmarkEnd w:id="0"/>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eastAsia="Cambria"/>
          <w:color w:val="434343" w:themeColor="text1" w:themeShade="BF"/>
          <w:sz w:val="21"/>
          <w:szCs w:val="21"/>
        </w:rPr>
        <w:t xml:space="preserve"> – Current</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Spearheaded the design, deployment, and optimization of </w:t>
      </w:r>
      <w:r>
        <w:rPr>
          <w:rFonts w:ascii="Arial" w:hAnsi="Arial" w:cs="Arial"/>
          <w:b w:val="1"/>
          <w:color w:val="434343" w:themeColor="text1" w:themeShade="BF"/>
          <w:sz w:val="20"/>
          <w:szCs w:val="20"/>
        </w:rPr>
        <w:t xml:space="preserve">Tulip's multi-cloud infrastructure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focusing on resilience and scalability to support global operations and reduce system fragility while enhancing availability for critical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Developed and maintained an automated </w:t>
      </w:r>
      <w:r>
        <w:rPr>
          <w:rFonts w:ascii="Arial" w:hAnsi="Arial" w:cs="Arial"/>
          <w:b w:val="1"/>
          <w:color w:val="434343" w:themeColor="text1" w:themeShade="BF"/>
          <w:sz w:val="20"/>
          <w:szCs w:val="20"/>
        </w:rPr>
        <w:t xml:space="preserve">CI/CD pipeline</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to ensure seamless software delivery and integration processes, significantly improving developer velocity and reducing deployment-related issues in a multi-region setup.</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Partnered closely with application engineering teams to provide infrastructure guidance, support, and best practices, enhancing collaboration and fostering a culture of proactive problem-solving and continuous improvement throughout project lifecycles.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Implemented robust monitoring and observability frameworks using tools like </w:t>
      </w:r>
      <w:r>
        <w:rPr>
          <w:rFonts w:ascii="Arial" w:hAnsi="Arial" w:cs="Arial"/>
          <w:b w:val="1"/>
          <w:color w:val="434343" w:themeColor="text1" w:themeShade="BF"/>
          <w:sz w:val="20"/>
          <w:szCs w:val="20"/>
        </w:rPr>
        <w:t xml:space="preserve">Prometheus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and </w:t>
      </w:r>
      <w:r>
        <w:rPr>
          <w:rFonts w:ascii="Arial" w:hAnsi="Arial" w:cs="Arial"/>
          <w:b w:val="1"/>
          <w:color w:val="434343" w:themeColor="text1" w:themeShade="BF"/>
          <w:sz w:val="20"/>
          <w:szCs w:val="20"/>
        </w:rPr>
        <w:t xml:space="preserve">Grafana</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significantly enhancing system reliability and timely incident response by providing actionable insights and alerting capabilities.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Created and refined automation tools and internal systems that eliminated operational toil, facilitating smoother workflows and increased developer efficiency across cloud environments while promoting a proactive approach to scalability challenges.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efforts to identify and mitigate potential performance degradation and capacity risks, resulting in proactive incident management that ensured uninterrupted service and sustained customer satisfaction at a global level.</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Conducted thorough root cause analyses post-incident, leveraging findings to drive improvements in the architecture and operational practices, which contributed to enhanced reliability and resilience of services.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Drove the adoption of industry best practices for observability standards across </w:t>
      </w:r>
      <w:r>
        <w:rPr>
          <w:rFonts w:ascii="Arial" w:hAnsi="Arial" w:cs="Arial"/>
          <w:b w:val="1"/>
          <w:color w:val="434343" w:themeColor="text1" w:themeShade="BF"/>
          <w:sz w:val="20"/>
          <w:szCs w:val="20"/>
        </w:rPr>
        <w:t xml:space="preserve">Tulip’s cloud environments</w:t>
      </w: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 effectively defining metrics, alerting mechanisms, and logging strategies for improved traceability and operational oversight.</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Facilitated on-call duty processes by developing comprehensive documentation and runbooks that enabled team members to respond effectively to incidents, minimizing service downtime and enhancing team preparedness.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Mentored junior engineers in infrastructure methodologies and automation practices, fostering skill development and knowledge sharing within the team for refined and efficient delivery cycles.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Acted as a facilitator between customer support and engineering to quickly resolve infrastructure-related issues, ensuring service reliability and retention through effective communication and timely resolutions.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szCs w:val="20"/>
        </w:rPr>
      </w:pPr>
      <w:r>
        <w:rPr>
          <w:rFonts w:ascii="Arial" w:hAnsi="Arial" w:cs="Arial"/>
          <w:bCs w:val="1"/>
          <w:color w:val="434343" w:themeColor="text1" w:themeShade="BF"/>
          <w:sz w:val="20"/>
          <w:szCs w:val="20"/>
        </w:rPr>
        <w:t/>
      </w:r>
      <w:r>
        <w:rPr>
          <w:rFonts w:ascii="Arial" w:hAnsi="Arial" w:cs="Arial"/>
          <w:b w:val="1"/>
          <w:color w:val="434343" w:themeColor="text1" w:themeShade="BF"/>
          <w:sz w:val="20"/>
          <w:szCs w:val="20"/>
        </w:rPr>
        <w:t/>
      </w:r>
      <w:r>
        <w:rPr>
          <w:rFonts w:ascii="Arial" w:hAnsi="Arial" w:cs="Arial"/>
          <w:bCs w:val="1"/>
          <w:color w:val="434343" w:themeColor="text1" w:themeShade="BF"/>
          <w:sz w:val="20"/>
          <w:szCs w:val="20"/>
        </w:rPr>
        <w:t xml:space="preserve">Led initiatives to migrate legacy systems to modern architectures within the cloud, yielding process improvements and a streamlined operational structure that supports current and future business needs.</w:t>
      </w:r>
    </w:p>
    <w:p>
      <w:pPr>
        <w:tabs>
          <w:tab w:val="right" w:pos="10800" w:leader="none"/>
        </w:tabs>
        <w:spacing w:lineRule="auto" w:line="288" w:beforeAutospacing="0" w:afterAutospacing="0"/>
        <w:rPr>
          <w:rFonts w:cs="Arial"/>
          <w:color w:val="434343" w:themeColor="text1" w:themeShade="BF"/>
          <w:sz w:val="20"/>
          <w:szCs w:val="20"/>
          <w:lang w:val="pt-BR"/>
        </w:rPr>
      </w:pPr>
    </w:p>
    <w:p>
      <w:pPr>
        <w:tabs>
          <w:tab w:val="right" w:pos="10800" w:leader="none"/>
        </w:tabs>
        <w:spacing w:lineRule="auto" w:line="288" w:beforeAutospacing="0" w:afterAutospacing="0"/>
        <w:rPr>
          <w:rFonts w:cs="Arial"/>
          <w:color w:val="434343" w:themeColor="text1" w:themeShade="BF"/>
          <w:sz w:val="20"/>
        </w:rPr>
      </w:pPr>
      <w:r>
        <w:rPr>
          <w:rFonts w:cs="Arial" w:eastAsia="Cambria"/>
          <w:b w:val="1"/>
          <w:color w:val="434343" w:themeColor="text1" w:themeShade="BF"/>
          <w:sz w:val="24"/>
          <w:szCs w:val="24"/>
          <w:rtl w:val="0"/>
          <w:lang w:val="en-US" w:bidi="en-US" w:eastAsia="en-US"/>
        </w:rPr>
        <w:t>Roundtable Learning, Chagrin Falls, OH</w:t>
      </w:r>
      <w:r>
        <w:rPr>
          <w:rFonts w:cs="Arial" w:eastAsia="Cambria"/>
          <w:color w:val="434343" w:themeColor="text1" w:themeShade="BF"/>
          <w:sz w:val="21"/>
          <w:szCs w:val="21"/>
        </w:rPr>
        <w:t xml:space="preserve"> -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w:t>
      </w:r>
      <w:r>
        <w:rPr>
          <w:rFonts w:cs="Arial" w:eastAsia="Cambria"/>
          <w:color w:val="434343" w:themeColor="text1" w:themeShade="BF"/>
          <w:sz w:val="21"/>
          <w:szCs w:val="21"/>
          <w:rtl w:val="0"/>
          <w:lang w:val="en-US" w:bidi="en-US" w:eastAsia="en-US"/>
        </w:rPr>
        <w:t>Aug</w:t>
      </w:r>
      <w:r>
        <w:rPr>
          <w:rFonts w:cs="Arial" w:eastAsia="Cambria"/>
          <w:color w:val="434343" w:themeColor="text1" w:themeShade="BF"/>
          <w:sz w:val="21"/>
          <w:szCs w:val="21"/>
        </w:rPr>
        <w:t xml:space="preserve"> 20</w:t>
      </w:r>
      <w:r>
        <w:rPr>
          <w:rFonts w:cs="Arial" w:eastAsia="Cambria"/>
          <w:color w:val="434343" w:themeColor="text1" w:themeShade="BF"/>
          <w:sz w:val="21"/>
          <w:szCs w:val="21"/>
          <w:rtl w:val="0"/>
          <w:lang w:val="en-US" w:bidi="en-US" w:eastAsia="en-US"/>
        </w:rPr>
        <w:t>19</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May</w:t>
      </w:r>
      <w:r>
        <w:rPr>
          <w:rFonts w:cs="Arial" w:eastAsia="Cambria"/>
          <w:color w:val="434343" w:themeColor="text1" w:themeShade="BF"/>
          <w:sz w:val="21"/>
          <w:szCs w:val="21"/>
        </w:rPr>
        <w:t xml:space="preserve"> 202</w:t>
      </w:r>
      <w:r>
        <w:rPr>
          <w:rFonts w:cs="Arial" w:eastAsia="Cambria"/>
          <w:color w:val="434343" w:themeColor="text1" w:themeShade="BF"/>
          <w:sz w:val="21"/>
          <w:szCs w:val="21"/>
          <w:rtl w:val="0"/>
          <w:lang w:val="en-US" w:bidi="en-US" w:eastAsia="en-US"/>
        </w:rPr>
        <w:t>3</w:t>
      </w:r>
      <w:r>
        <w:rPr>
          <w:rFonts w:cs="Arial"/>
          <w:bCs w:val="1"/>
          <w:color w:val="434343" w:themeColor="text1" w:themeShade="BF"/>
          <w:sz w:val="20"/>
          <w:szCs w:val="20"/>
        </w:rPr>
        <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Engaged in the architectural design and deployment of scalable </w:t>
      </w:r>
      <w:r>
        <w:rPr>
          <w:rFonts w:ascii="Arial" w:hAnsi="Arial" w:cs="Arial"/>
          <w:b w:val="1"/>
          <w:bCs w:val="1"/>
          <w:color w:val="434343" w:themeColor="text1" w:themeShade="BF"/>
          <w:sz w:val="20"/>
        </w:rPr>
        <w:t xml:space="preserve">cloud infrastructure solutions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reinforcing best practices in capacity planning, security, and operational resilience to support robust software applications.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Executed continuous integration and delivery practices using </w:t>
      </w:r>
      <w:r>
        <w:rPr>
          <w:rFonts w:ascii="Arial" w:hAnsi="Arial" w:cs="Arial"/>
          <w:b w:val="1"/>
          <w:bCs w:val="1"/>
          <w:color w:val="434343" w:themeColor="text1" w:themeShade="BF"/>
          <w:sz w:val="20"/>
        </w:rPr>
        <w:t xml:space="preserve">Jenkins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GitLab CI</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resulting in accelerated development cycles and improved release frequency while minimizing downtime and deployment errors.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Collaborated with cross-functional teams to enhance cloud-based services, optimizing database configurations and caching strategies across </w:t>
      </w:r>
      <w:r>
        <w:rPr>
          <w:rFonts w:ascii="Arial" w:hAnsi="Arial" w:cs="Arial"/>
          <w:b w:val="1"/>
          <w:bCs w:val="1"/>
          <w:color w:val="434343" w:themeColor="text1" w:themeShade="BF"/>
          <w:sz w:val="20"/>
        </w:rPr>
        <w:t xml:space="preserve">NoSQL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SQL databases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driving significant performance improvements in application response times.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Enhanced monitoring frameworks by implementing observability tools such as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Prometheus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leading to early detection of service anomalies and reduced incident response time through comprehensive analytics.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Pioneered deployment automation using </w:t>
      </w:r>
      <w:r>
        <w:rPr>
          <w:rFonts w:ascii="Arial" w:hAnsi="Arial" w:cs="Arial"/>
          <w:b w:val="1"/>
          <w:bCs w:val="1"/>
          <w:color w:val="434343" w:themeColor="text1" w:themeShade="BF"/>
          <w:sz w:val="20"/>
        </w:rPr>
        <w:t xml:space="preserve">Ansible</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Terraform</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repeatable configurations and greater infrastructure consistency across different environment stages, thus streamlining the deployment process.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Facilitated strategic discussions on infrastructure improvements that emphasized performance and availability, directly affecting overall application responsiveness and user satisfaction while maintaining operational integrity.</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Conceived and built internal tools aimed at improving workflow efficiencies for development teams, reflecting a strong culture of automation and continuous improvement through streamlined processes and practices.</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Enabled teams to adopt a Site Reliability Engineering mindset, embedding observability practices into the engineering lifecycle, improving system reliability, and fostering a culture of shared responsibility for operational excellence.</w:t>
      </w:r>
      <w:r>
        <w:rPr>
          <w:rFonts w:cs="Arial"/>
          <w:color w:val="434343" w:themeColor="text1" w:themeShade="BF"/>
          <w:sz w:val="20"/>
        </w:rPr>
        <w:tab/>
      </w: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Initiated documentation practices for infrastructure configurations and processes, ensuring knowledge continuity and empowering team members with resource materials that enhance operational effectiveness within the organization.</w:t>
      </w:r>
      <w:r>
        <w:rPr>
          <w:rFonts w:ascii="Arial" w:hAnsi="Arial" w:cs="Arial"/>
          <w:bCs w:val="1"/>
          <w:color w:val="434343" w:themeColor="text1" w:themeShade="BF"/>
          <w:sz w:val="20"/>
        </w:rPr>
        <w:br w:type="textWrapping"/>
      </w:r>
    </w:p>
    <w:p>
      <w:pPr>
        <w:tabs>
          <w:tab w:val="right" w:pos="10800" w:leader="none"/>
        </w:tabs>
        <w:spacing w:lineRule="auto" w:line="288" w:beforeAutospacing="0" w:afterAutospacing="0"/>
        <w:rPr>
          <w:rFonts w:cs="Arial"/>
          <w:b w:val="1"/>
          <w:color w:val="434343" w:themeColor="text1" w:themeShade="BF"/>
          <w:sz w:val="20"/>
        </w:rPr>
      </w:pPr>
      <w:r>
        <w:rPr>
          <w:rFonts w:cs="Arial" w:eastAsia="Cambria"/>
          <w:b w:val="1"/>
          <w:color w:val="434343" w:themeColor="text1" w:themeShade="BF"/>
          <w:sz w:val="24"/>
          <w:szCs w:val="24"/>
          <w:rtl w:val="0"/>
          <w:lang w:val="en-US" w:bidi="en-US" w:eastAsia="en-US"/>
        </w:rPr>
        <w:t>Blackbaud, New York, NY</w:t>
      </w:r>
      <w:r>
        <w:rPr>
          <w:rFonts w:cs="Arial" w:eastAsia="Cambria"/>
          <w:b w:val="1"/>
          <w:color w:val="434343" w:themeColor="text1" w:themeShade="BF"/>
          <w:sz w:val="24"/>
          <w:szCs w:val="24"/>
        </w:rPr>
        <w:t xml:space="preserve"> </w:t>
      </w:r>
      <w:r>
        <w:rPr>
          <w:rFonts w:cs="Arial" w:eastAsia="Cambria"/>
          <w:color w:val="434343" w:themeColor="text1" w:themeShade="BF"/>
          <w:sz w:val="21"/>
          <w:szCs w:val="21"/>
        </w:rPr>
        <w:t xml:space="preserve">- </w:t>
      </w:r>
      <w:r>
        <w:rPr>
          <w:rFonts w:cs="Arial"/>
          <w:b w:val="1"/>
          <w:bCs w:val="1"/>
          <w:color w:val="434343" w:themeColor="text1" w:themeShade="BF"/>
          <w:sz w:val="20"/>
        </w:rPr>
        <w:t>Software Engineer</w:t>
      </w:r>
      <w:r>
        <w:rPr>
          <w:rFonts w:cs="Arial" w:eastAsia="Cambria"/>
          <w:color w:val="434343" w:themeColor="text1" w:themeShade="BF"/>
          <w:sz w:val="21"/>
          <w:szCs w:val="21"/>
        </w:rPr>
        <w:tab/>
        <w:t xml:space="preserve"> Jan 201</w:t>
      </w:r>
      <w:r>
        <w:rPr>
          <w:rFonts w:cs="Arial" w:eastAsia="Cambria"/>
          <w:color w:val="434343" w:themeColor="text1" w:themeShade="BF"/>
          <w:sz w:val="21"/>
          <w:szCs w:val="21"/>
          <w:rtl w:val="0"/>
          <w:lang w:val="en-US" w:bidi="en-US" w:eastAsia="en-US"/>
        </w:rPr>
        <w:t>6</w:t>
      </w:r>
      <w:r>
        <w:rPr>
          <w:rFonts w:cs="Arial" w:eastAsia="Cambria"/>
          <w:color w:val="434343" w:themeColor="text1" w:themeShade="BF"/>
          <w:sz w:val="21"/>
          <w:szCs w:val="21"/>
        </w:rPr>
        <w:t xml:space="preserve"> – </w:t>
      </w:r>
      <w:r>
        <w:rPr>
          <w:rFonts w:cs="Arial" w:eastAsia="Cambria"/>
          <w:color w:val="434343" w:themeColor="text1" w:themeShade="BF"/>
          <w:sz w:val="21"/>
          <w:szCs w:val="21"/>
          <w:rtl w:val="0"/>
          <w:lang w:val="en-US" w:bidi="en-US" w:eastAsia="en-US"/>
        </w:rPr>
        <w:t>Jul</w:t>
      </w:r>
      <w:r>
        <w:rPr>
          <w:rFonts w:cs="Arial" w:eastAsia="Cambria"/>
          <w:color w:val="434343" w:themeColor="text1" w:themeShade="BF"/>
          <w:sz w:val="21"/>
          <w:szCs w:val="21"/>
        </w:rPr>
        <w:t xml:space="preserve"> 201</w:t>
      </w:r>
      <w:r>
        <w:rPr>
          <w:rFonts w:cs="Arial" w:eastAsia="Cambria"/>
          <w:color w:val="434343" w:themeColor="text1" w:themeShade="BF"/>
          <w:sz w:val="21"/>
          <w:szCs w:val="21"/>
          <w:rtl w:val="0"/>
          <w:lang w:val="en-US" w:bidi="en-US" w:eastAsia="en-US"/>
        </w:rPr>
        <w:t>9</w:t>
      </w:r>
      <w:r>
        <w:rPr>
          <w:rFonts w:cs="Arial"/>
          <w:bCs w:val="1"/>
          <w:color w:val="434343" w:themeColor="text1" w:themeShade="BF"/>
          <w:sz w:val="20"/>
          <w:szCs w:val="20"/>
        </w:rPr>
        <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the development of </w:t>
      </w:r>
      <w:r>
        <w:rPr>
          <w:rFonts w:ascii="Arial" w:hAnsi="Arial" w:cs="Arial"/>
          <w:b w:val="1"/>
          <w:bCs w:val="1"/>
          <w:color w:val="434343" w:themeColor="text1" w:themeShade="BF"/>
          <w:sz w:val="20"/>
        </w:rPr>
        <w:t xml:space="preserve">SaaS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applications in a team-focused environment, employing </w:t>
      </w:r>
      <w:r>
        <w:rPr>
          <w:rFonts w:ascii="Arial" w:hAnsi="Arial" w:cs="Arial"/>
          <w:b w:val="1"/>
          <w:bCs w:val="1"/>
          <w:color w:val="434343" w:themeColor="text1" w:themeShade="BF"/>
          <w:sz w:val="20"/>
        </w:rPr>
        <w:t xml:space="preserve">Agile methodologies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meet project timelines while cultivating a collaborative team atmosphere that emphasized openness and adaptability.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Assisted in the implementation of monitoring solutions using </w:t>
      </w:r>
      <w:r>
        <w:rPr>
          <w:rFonts w:ascii="Arial" w:hAnsi="Arial" w:cs="Arial"/>
          <w:b w:val="1"/>
          <w:bCs w:val="1"/>
          <w:color w:val="434343" w:themeColor="text1" w:themeShade="BF"/>
          <w:sz w:val="20"/>
        </w:rPr>
        <w:t xml:space="preserve">Grafana</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allowing for improved data visualization and system transparency, which was critical in providing actionable insights to the engineering team.</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Focused on the optimization of deployment processes through automation, leveraging tools such as </w:t>
      </w:r>
      <w:r>
        <w:rPr>
          <w:rFonts w:ascii="Arial" w:hAnsi="Arial" w:cs="Arial"/>
          <w:b w:val="1"/>
          <w:bCs w:val="1"/>
          <w:color w:val="434343" w:themeColor="text1" w:themeShade="BF"/>
          <w:sz w:val="20"/>
        </w:rPr>
        <w:t xml:space="preserve">Docker</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Kubernetes</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to enhance scalability and maintainability of cloud applications on a continuous basis.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Participated in the design of microservices architectures that improved modularity and responsiveness of applications, addressing performance needs in dynamic cloud environments effectively.</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Actively engaged with developers to establish a comprehensive understanding of infrastructure needs, thereby enabling tailored solutions that enhanced delivery timelines and app performance throughout the software lifecycle.</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Worked directly on backend integration tasks involving data management via </w:t>
      </w:r>
      <w:r>
        <w:rPr>
          <w:rFonts w:ascii="Arial" w:hAnsi="Arial" w:cs="Arial"/>
          <w:b w:val="1"/>
          <w:bCs w:val="1"/>
          <w:color w:val="434343" w:themeColor="text1" w:themeShade="BF"/>
          <w:sz w:val="20"/>
        </w:rPr>
        <w:t xml:space="preserve">PostgreSQL</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and </w:t>
      </w:r>
      <w:r>
        <w:rPr>
          <w:rFonts w:ascii="Arial" w:hAnsi="Arial" w:cs="Arial"/>
          <w:b w:val="1"/>
          <w:bCs w:val="1"/>
          <w:color w:val="434343" w:themeColor="text1" w:themeShade="BF"/>
          <w:sz w:val="20"/>
        </w:rPr>
        <w:t xml:space="preserve">MongoDB</w:t>
      </w: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 ensuring smooth data flow and robust data integrity across service interactions.</w:t>
      </w:r>
    </w:p>
    <w:p>
      <w:pPr>
        <w:tabs>
          <w:tab w:val="right" w:pos="10800" w:leader="none"/>
        </w:tabs>
        <w:spacing w:lineRule="auto" w:line="288" w:beforeAutospacing="0" w:afterAutospacing="0"/>
        <w:rPr>
          <w:rFonts w:cs="Arial"/>
          <w:bCs w:val="1"/>
          <w:color w:val="434343" w:themeColor="text1" w:themeShade="BF"/>
          <w:sz w:val="20"/>
        </w:rPr>
        <w:sectPr>
          <w:footnotePr/>
          <w:endnotePr/>
          <w:type w:val="continuous"/>
          <w:pgMar w:left="720" w:right="720" w:top="720" w:bottom="720" w:header="720" w:footer="720" w:gutter="0"/>
          <w:cols w:equalWidth="1" w:space="720"/>
        </w:sectPr>
      </w:pPr>
    </w:p>
    <w:p>
      <w:pPr>
        <w:pStyle w:val="P5"/>
        <w:numPr>
          <w:ilvl w:val="0"/>
          <w:numId w:val="4"/>
        </w:numPr>
        <w:tabs>
          <w:tab w:val="right" w:pos="10800" w:leader="none"/>
        </w:tabs>
        <w:spacing w:after="60" w:beforeAutospacing="0" w:afterAutospacing="0"/>
        <w:ind w:left="504"/>
        <w:contextualSpacing w:val="0"/>
        <w:rPr>
          <w:rFonts w:ascii="Arial" w:hAnsi="Arial" w:cs="Arial"/>
          <w:bCs w:val="1"/>
          <w:color w:val="434343" w:themeColor="text1" w:themeShade="BF"/>
          <w:sz w:val="20"/>
        </w:rPr>
      </w:pPr>
      <w:r>
        <w:rPr>
          <w:rFonts w:ascii="Arial" w:hAnsi="Arial" w:cs="Arial"/>
          <w:bCs w:val="1"/>
          <w:color w:val="434343" w:themeColor="text1" w:themeShade="BF"/>
          <w:sz w:val="20"/>
        </w:rPr>
        <w:t/>
      </w:r>
      <w:r>
        <w:rPr>
          <w:rFonts w:ascii="Arial" w:hAnsi="Arial" w:cs="Arial"/>
          <w:b w:val="1"/>
          <w:bCs w:val="1"/>
          <w:color w:val="434343" w:themeColor="text1" w:themeShade="BF"/>
          <w:sz w:val="20"/>
        </w:rPr>
        <w:t/>
      </w:r>
      <w:r>
        <w:rPr>
          <w:rFonts w:ascii="Arial" w:hAnsi="Arial" w:cs="Arial"/>
          <w:bCs w:val="1"/>
          <w:color w:val="434343" w:themeColor="text1" w:themeShade="BF"/>
          <w:sz w:val="20"/>
        </w:rPr>
        <w:t xml:space="preserve">Contributed to progressive application development and deployment processes, attaining improved efficiencies and feature rollouts while adhering to best practices in code management and quality standards throughout the entire process.</w:t>
      </w:r>
    </w:p>
    <w:p>
      <w:pPr>
        <w:tabs>
          <w:tab w:val="right" w:pos="10800" w:leader="none"/>
        </w:tabs>
        <w:spacing w:after="60" w:beforeAutospacing="0" w:afterAutospacing="0"/>
        <w:rPr>
          <w:rFonts w:cs="Arial"/>
          <w:bCs w:val="1"/>
          <w:color w:val="434343" w:themeColor="text1" w:themeShade="BF"/>
          <w:sz w:val="20"/>
        </w:rPr>
      </w:pPr>
    </w:p>
    <w:p>
      <w:pPr>
        <w:tabs>
          <w:tab w:val="right" w:pos="10800" w:leader="none"/>
        </w:tabs>
        <w:spacing w:after="60" w:beforeAutospacing="0" w:afterAutospacing="0"/>
        <w:rPr>
          <w:rFonts w:cs="Arial"/>
          <w:bCs w:val="1"/>
          <w:color w:val="434343" w:themeColor="text1" w:themeShade="BF"/>
          <w:sz w:val="20"/>
        </w:rPr>
      </w:pPr>
    </w:p>
    <w:p>
      <w:pPr>
        <w:pStyle w:val="P4"/>
        <w:spacing w:lineRule="auto" w:line="276" w:beforeAutospacing="0" w:afterAutospacing="0"/>
        <w:jc w:val="center"/>
        <w:rPr>
          <w:b w:val="0"/>
          <w:color w:val="434343" w:themeColor="text1" w:themeShade="BF"/>
          <w:sz w:val="20"/>
          <w:szCs w:val="20"/>
          <w:spacing w:val="36"/>
        </w:rPr>
      </w:pPr>
      <w:r>
        <w:rPr>
          <w:b w:val="0"/>
          <w:color w:val="434343" w:themeColor="text1" w:themeShade="BF"/>
          <w:sz w:val="24"/>
          <w:spacing w:val="36"/>
        </w:rPr>
        <w:t>EDUCATION</w:t>
      </w:r>
    </w:p>
    <w:p>
      <w:pPr>
        <w:spacing w:lineRule="auto" w:line="276" w:beforeAutospacing="0" w:afterAutospacing="0"/>
        <w:ind w:left="2448"/>
        <w:rPr>
          <w:rFonts w:cs="Arial"/>
          <w:b w:val="1"/>
          <w:color w:val="434343" w:themeColor="text1" w:themeShade="BF"/>
        </w:rPr>
      </w:pPr>
    </w:p>
    <w:p>
      <w:pPr>
        <w:tabs>
          <w:tab w:val="right" w:pos="10800" w:leader="none"/>
        </w:tabs>
        <w:spacing w:after="60" w:beforeAutospacing="0" w:afterAutospacing="0"/>
        <w:rPr>
          <w:rFonts w:cs="Arial"/>
          <w:bCs w:val="1"/>
          <w:color w:val="434343" w:themeColor="text1" w:themeShade="BF"/>
          <w:sz w:val="20"/>
        </w:rPr>
      </w:pPr>
      <w:r>
        <w:rPr>
          <w:rFonts w:cs="Arial" w:eastAsia="Cambria"/>
          <w:b w:val="1"/>
          <w:color w:val="434343" w:themeColor="text1" w:themeShade="BF"/>
          <w:sz w:val="20"/>
          <w:szCs w:val="20"/>
          <w:rtl w:val="0"/>
          <w:lang w:val="en-US" w:bidi="en-US" w:eastAsia="en-US"/>
        </w:rPr>
        <w:t>Alliance University</w:t>
      </w:r>
      <w:r>
        <w:rPr>
          <w:rFonts w:cs="Arial" w:eastAsia="Cambria"/>
          <w:color w:val="434343" w:themeColor="text1" w:themeShade="BF"/>
          <w:sz w:val="20"/>
          <w:szCs w:val="20"/>
        </w:rPr>
        <w:t xml:space="preserve"> – Bachelor of Science in Computer Science </w:t>
      </w:r>
      <w:r>
        <w:rPr>
          <w:rFonts w:cs="Arial" w:eastAsia="Cambria"/>
          <w:color w:val="434343" w:themeColor="text1" w:themeShade="BF"/>
          <w:sz w:val="20"/>
          <w:szCs w:val="20"/>
        </w:rPr>
        <w:br w:type="textWrapping"/>
      </w:r>
      <w:r>
        <w:rPr>
          <w:rFonts w:cs="Arial" w:eastAsia="Arial Unicode MS"/>
          <w:color w:val="434343" w:themeColor="text1" w:themeShade="BF"/>
          <w:sz w:val="20"/>
          <w:szCs w:val="20"/>
        </w:rPr>
        <w:t>(</w:t>
      </w:r>
      <w:r>
        <w:rPr>
          <w:rFonts w:cs="Arial" w:eastAsia="Arial Unicode MS"/>
          <w:color w:val="434343" w:themeColor="text1" w:themeShade="BF"/>
          <w:sz w:val="20"/>
          <w:szCs w:val="20"/>
          <w:rtl w:val="0"/>
          <w:lang w:val="en-US" w:bidi="en-US" w:eastAsia="en-US"/>
        </w:rPr>
        <w:t xml:space="preserve">Sep </w:t>
      </w:r>
      <w:r>
        <w:rPr>
          <w:rFonts w:cs="Arial" w:eastAsia="Arial Unicode MS"/>
          <w:color w:val="434343" w:themeColor="text1" w:themeShade="BF"/>
          <w:sz w:val="20"/>
          <w:szCs w:val="20"/>
        </w:rPr>
        <w:t>201</w:t>
      </w:r>
      <w:r>
        <w:rPr>
          <w:rFonts w:cs="Arial" w:eastAsia="Arial Unicode MS"/>
          <w:color w:val="434343" w:themeColor="text1" w:themeShade="BF"/>
          <w:sz w:val="20"/>
          <w:szCs w:val="20"/>
          <w:rtl w:val="0"/>
          <w:lang w:val="en-US" w:bidi="en-US" w:eastAsia="en-US"/>
        </w:rPr>
        <w:t>1</w:t>
      </w:r>
      <w:r>
        <w:rPr>
          <w:rFonts w:cs="Arial" w:eastAsia="Arial Unicode MS"/>
          <w:color w:val="434343" w:themeColor="text1" w:themeShade="BF"/>
          <w:sz w:val="20"/>
          <w:szCs w:val="20"/>
        </w:rPr>
        <w:t xml:space="preserve"> - May 201</w:t>
      </w:r>
      <w:r>
        <w:rPr>
          <w:rFonts w:cs="Arial" w:eastAsia="Arial Unicode MS"/>
          <w:color w:val="434343" w:themeColor="text1" w:themeShade="BF"/>
          <w:sz w:val="20"/>
          <w:szCs w:val="20"/>
          <w:rtl w:val="0"/>
          <w:lang w:val="en-US" w:bidi="en-US" w:eastAsia="en-US"/>
        </w:rPr>
        <w:t>6</w:t>
      </w:r>
      <w:r>
        <w:rPr>
          <w:rFonts w:cs="Arial" w:eastAsia="Arial Unicode MS"/>
          <w:color w:val="434343" w:themeColor="text1" w:themeShade="BF"/>
          <w:sz w:val="20"/>
          <w:szCs w:val="20"/>
        </w:rPr>
        <w:t>)</w:t>
      </w:r>
    </w:p>
    <w:p>
      <w:pPr>
        <w:tabs>
          <w:tab w:val="right" w:pos="10800" w:leader="none"/>
        </w:tabs>
        <w:spacing w:after="60" w:beforeAutospacing="0" w:afterAutospacing="0"/>
        <w:rPr>
          <w:rFonts w:cs="Arial"/>
          <w:bCs w:val="1"/>
          <w:color w:val="434343" w:themeColor="text1" w:themeShade="BF"/>
          <w:sz w:val="20"/>
        </w:rPr>
      </w:pPr>
    </w:p>
    <w:sectPr>
      <w:footnotePr/>
      <w:endnotePr/>
      <w:type w:val="continuous"/>
      <w:pgMar w:left="720" w:right="720" w:top="720" w:bottom="720" w:header="720" w:footer="720" w:gutter="0"/>
      <w:cols w:equalWidth="1" w:space="720"/>
    </w:sectPr>
  </w:body>
</w:document>
</file>

<file path=word/endnotes.xml><?xml version="1.0" encoding="utf-8"?>
<w:end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endnote w:type="separator" w:id="-1">
    <w:p>
      <w:r>
        <w:separator/>
      </w:r>
    </w:p>
  </w:endnote>
  <w:endnote w:type="continuationSeparator" w:id="0">
    <w:p>
      <w:r>
        <w:continuationSeparator/>
      </w:r>
    </w:p>
  </w:endnote>
</w:endnotes>
</file>

<file path=word/footnotes.xml><?xml version="1.0" encoding="utf-8"?>
<w:footnotes xmlns:w="http://schemas.openxmlformats.org/wordprocessingml/2006/main" xmlns:r="http://schemas.openxmlformats.org/officeDocument/2006/relationships" xmlns:wps="http://schemas.microsoft.com/office/word/2010/wordprocessingShape" xmlns:mc="http://schemas.openxmlformats.org/markup-compatibility/2006" xmlns:w10="urn:schemas-microsoft-com:office:word" xmlns:v="urn:schemas-microsoft-com:vml" xmlns:wp14="http://schemas.microsoft.com/office/word/2010/wordprocessingDrawing" xmlns:wpg="http://schemas.microsoft.com/office/word/2010/wordprocessingGroup" xmlns:wpc="http://schemas.microsoft.com/office/word/2010/wordprocessingCanvas" xmlns:w14="http://schemas.microsoft.com/office/word/2010/wordml" xmlns:w15="http://schemas.microsoft.com/office/word/2012/wordml" xmlns:cx1="http://schemas.microsoft.com/office/drawing/2015/9/8/chartex" xmlns:cx2="http://schemas.microsoft.com/office/drawing/2015/10/21/chartex" mc:Ignorable="wp14 w14 w15">
  <w:footnote w:type="separator" w:id="-1">
    <w:p>
      <w:r>
        <w:separator/>
      </w:r>
    </w:p>
  </w:footnote>
  <w:footnote w:type="continuationSeparator" w:id="0">
    <w:p>
      <w:r>
        <w:continuationSeparator/>
      </w:r>
    </w:p>
  </w:footnote>
</w:footnotes>
</file>

<file path=word/numbering.xml><?xml version="1.0" encoding="utf-8"?>
<w:numbering xmlns:w="http://schemas.openxmlformats.org/wordprocessingml/2006/main">
  <w:abstractNum w:abstractNumId="0">
    <w:nsid w:val="0928795B"/>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1">
    <w:nsid w:val="1BDE59C5"/>
    <w:multiLevelType w:val="multilevel"/>
    <w:lvl w:ilvl="0">
      <w:start w:val="1"/>
      <w:numFmt w:val="bullet"/>
      <w:suff w:val="tab"/>
      <w:lvlText w:val="●"/>
      <w:lvlJc w:val="left"/>
      <w:pPr>
        <w:ind w:hanging="360" w:left="720"/>
      </w:pPr>
      <w:rPr>
        <w:u w:val="none"/>
      </w:rPr>
    </w:lvl>
    <w:lvl w:ilvl="1">
      <w:start w:val="1"/>
      <w:numFmt w:val="bullet"/>
      <w:suff w:val="tab"/>
      <w:lvlText w:val="○"/>
      <w:lvlJc w:val="left"/>
      <w:pPr>
        <w:ind w:hanging="360" w:left="1440"/>
      </w:pPr>
      <w:rPr>
        <w:u w:val="none"/>
      </w:rPr>
    </w:lvl>
    <w:lvl w:ilvl="2">
      <w:start w:val="1"/>
      <w:numFmt w:val="bullet"/>
      <w:suff w:val="tab"/>
      <w:lvlText w:val="■"/>
      <w:lvlJc w:val="left"/>
      <w:pPr>
        <w:ind w:hanging="360" w:left="2160"/>
      </w:pPr>
      <w:rPr>
        <w:rFonts w:ascii="Microsoft YaHei" w:hAnsi="Microsoft YaHei" w:cs="Microsoft YaHei" w:eastAsia="Microsoft YaHei"/>
        <w:u w:val="none"/>
      </w:rPr>
    </w:lvl>
    <w:lvl w:ilvl="3">
      <w:start w:val="1"/>
      <w:numFmt w:val="bullet"/>
      <w:suff w:val="tab"/>
      <w:lvlText w:val="●"/>
      <w:lvlJc w:val="left"/>
      <w:pPr>
        <w:ind w:hanging="360" w:left="2880"/>
      </w:pPr>
      <w:rPr>
        <w:u w:val="none"/>
      </w:rPr>
    </w:lvl>
    <w:lvl w:ilvl="4">
      <w:start w:val="1"/>
      <w:numFmt w:val="bullet"/>
      <w:suff w:val="tab"/>
      <w:lvlText w:val="○"/>
      <w:lvlJc w:val="left"/>
      <w:pPr>
        <w:ind w:hanging="360" w:left="3600"/>
      </w:pPr>
      <w:rPr>
        <w:u w:val="none"/>
      </w:rPr>
    </w:lvl>
    <w:lvl w:ilvl="5">
      <w:start w:val="1"/>
      <w:numFmt w:val="bullet"/>
      <w:suff w:val="tab"/>
      <w:lvlText w:val="■"/>
      <w:lvlJc w:val="left"/>
      <w:pPr>
        <w:ind w:hanging="360" w:left="4320"/>
      </w:pPr>
      <w:rPr>
        <w:rFonts w:ascii="Microsoft YaHei" w:hAnsi="Microsoft YaHei" w:cs="Microsoft YaHei" w:eastAsia="Microsoft YaHei"/>
        <w:u w:val="none"/>
      </w:rPr>
    </w:lvl>
    <w:lvl w:ilvl="6">
      <w:start w:val="1"/>
      <w:numFmt w:val="bullet"/>
      <w:suff w:val="tab"/>
      <w:lvlText w:val="●"/>
      <w:lvlJc w:val="left"/>
      <w:pPr>
        <w:ind w:hanging="360" w:left="5040"/>
      </w:pPr>
      <w:rPr>
        <w:u w:val="none"/>
      </w:rPr>
    </w:lvl>
    <w:lvl w:ilvl="7">
      <w:start w:val="1"/>
      <w:numFmt w:val="bullet"/>
      <w:suff w:val="tab"/>
      <w:lvlText w:val="○"/>
      <w:lvlJc w:val="left"/>
      <w:pPr>
        <w:ind w:hanging="360" w:left="5760"/>
      </w:pPr>
      <w:rPr>
        <w:u w:val="none"/>
      </w:rPr>
    </w:lvl>
    <w:lvl w:ilvl="8">
      <w:start w:val="1"/>
      <w:numFmt w:val="bullet"/>
      <w:suff w:val="tab"/>
      <w:lvlText w:val="■"/>
      <w:lvlJc w:val="left"/>
      <w:pPr>
        <w:ind w:hanging="360" w:left="6480"/>
      </w:pPr>
      <w:rPr>
        <w:rFonts w:ascii="Microsoft YaHei" w:hAnsi="Microsoft YaHei" w:cs="Microsoft YaHei" w:eastAsia="Microsoft YaHei"/>
        <w:u w:val="none"/>
      </w:rPr>
    </w:lvl>
  </w:abstractNum>
  <w:abstractNum w:abstractNumId="2">
    <w:nsid w:val="23DF627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3">
    <w:nsid w:val="2CCF3071"/>
    <w:multiLevelType w:val="multilevel"/>
    <w:lvl w:ilvl="0">
      <w:start w:val="1"/>
      <w:numFmt w:val="bullet"/>
      <w:suff w:val="tab"/>
      <w:lvlText w:val=""/>
      <w:lvlJc w:val="left"/>
      <w:pPr>
        <w:ind w:firstLine="1080" w:left="2160"/>
      </w:pPr>
      <w:rPr>
        <w:rFonts w:ascii="Symbol" w:hAnsi="Symbol" w:hint="default"/>
      </w:rPr>
    </w:lvl>
    <w:lvl w:ilvl="1">
      <w:start w:val="1"/>
      <w:numFmt w:val="bullet"/>
      <w:suff w:val="tab"/>
      <w:lvlText w:val="o"/>
      <w:lvlJc w:val="left"/>
      <w:pPr>
        <w:ind w:firstLine="2520" w:left="2880"/>
      </w:pPr>
      <w:rPr>
        <w:rFonts w:ascii="Arial" w:hAnsi="Arial" w:cs="Arial" w:eastAsia="Arial"/>
      </w:rPr>
    </w:lvl>
    <w:lvl w:ilvl="2">
      <w:start w:val="1"/>
      <w:numFmt w:val="bullet"/>
      <w:suff w:val="tab"/>
      <w:lvlText w:val="▪"/>
      <w:lvlJc w:val="left"/>
      <w:pPr>
        <w:ind w:firstLine="3960" w:left="3600"/>
      </w:pPr>
      <w:rPr>
        <w:rFonts w:ascii="Arial" w:hAnsi="Arial" w:cs="Arial" w:eastAsia="Arial"/>
      </w:rPr>
    </w:lvl>
    <w:lvl w:ilvl="3">
      <w:start w:val="1"/>
      <w:numFmt w:val="bullet"/>
      <w:suff w:val="tab"/>
      <w:lvlText w:val="●"/>
      <w:lvlJc w:val="left"/>
      <w:pPr>
        <w:ind w:firstLine="5400" w:left="4320"/>
      </w:pPr>
      <w:rPr>
        <w:rFonts w:ascii="Arial" w:hAnsi="Arial" w:cs="Arial" w:eastAsia="Arial"/>
      </w:rPr>
    </w:lvl>
    <w:lvl w:ilvl="4">
      <w:start w:val="1"/>
      <w:numFmt w:val="bullet"/>
      <w:suff w:val="tab"/>
      <w:lvlText w:val="o"/>
      <w:lvlJc w:val="left"/>
      <w:pPr>
        <w:ind w:firstLine="6840" w:left="5040"/>
      </w:pPr>
      <w:rPr>
        <w:rFonts w:ascii="Arial" w:hAnsi="Arial" w:cs="Arial" w:eastAsia="Arial"/>
      </w:rPr>
    </w:lvl>
    <w:lvl w:ilvl="5">
      <w:start w:val="1"/>
      <w:numFmt w:val="bullet"/>
      <w:suff w:val="tab"/>
      <w:lvlText w:val="▪"/>
      <w:lvlJc w:val="left"/>
      <w:pPr>
        <w:ind w:firstLine="8280" w:left="5760"/>
      </w:pPr>
      <w:rPr>
        <w:rFonts w:ascii="Arial" w:hAnsi="Arial" w:cs="Arial" w:eastAsia="Arial"/>
      </w:rPr>
    </w:lvl>
    <w:lvl w:ilvl="6">
      <w:start w:val="1"/>
      <w:numFmt w:val="bullet"/>
      <w:suff w:val="tab"/>
      <w:lvlText w:val="●"/>
      <w:lvlJc w:val="left"/>
      <w:pPr>
        <w:ind w:firstLine="9720" w:left="6480"/>
      </w:pPr>
      <w:rPr>
        <w:rFonts w:ascii="Arial" w:hAnsi="Arial" w:cs="Arial" w:eastAsia="Arial"/>
      </w:rPr>
    </w:lvl>
    <w:lvl w:ilvl="7">
      <w:start w:val="1"/>
      <w:numFmt w:val="bullet"/>
      <w:suff w:val="tab"/>
      <w:lvlText w:val="o"/>
      <w:lvlJc w:val="left"/>
      <w:pPr>
        <w:ind w:firstLine="11160" w:left="7200"/>
      </w:pPr>
      <w:rPr>
        <w:rFonts w:ascii="Arial" w:hAnsi="Arial" w:cs="Arial" w:eastAsia="Arial"/>
      </w:rPr>
    </w:lvl>
    <w:lvl w:ilvl="8">
      <w:start w:val="1"/>
      <w:numFmt w:val="bullet"/>
      <w:suff w:val="tab"/>
      <w:lvlText w:val="▪"/>
      <w:lvlJc w:val="left"/>
      <w:pPr>
        <w:ind w:firstLine="12600" w:left="7920"/>
      </w:pPr>
      <w:rPr>
        <w:rFonts w:ascii="Arial" w:hAnsi="Arial" w:cs="Arial" w:eastAsia="Arial"/>
      </w:rPr>
    </w:lvl>
  </w:abstractNum>
  <w:abstractNum w:abstractNumId="4">
    <w:nsid w:val="35C338FD"/>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5">
    <w:nsid w:val="3ABE5D3E"/>
    <w:multiLevelType w:val="hybridMultilevel"/>
    <w:lvl w:ilvl="0" w:tplc="00C6F988">
      <w:start w:val="1"/>
      <w:numFmt w:val="bullet"/>
      <w:suff w:val="tab"/>
      <w:lvlText w:val=""/>
      <w:lvlJc w:val="left"/>
      <w:pPr>
        <w:ind w:hanging="360" w:left="720"/>
      </w:pPr>
      <w:rPr>
        <w:rFonts w:ascii="Symbol" w:hAnsi="Symbol" w:hint="default"/>
        <w:color w:val="595959" w:themeColor="text1"/>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6">
    <w:nsid w:val="48E66241"/>
    <w:multiLevelType w:val="hybridMultilevel"/>
    <w:lvl w:ilvl="0" w:tplc="04090001">
      <w:start w:val="1"/>
      <w:numFmt w:val="bullet"/>
      <w:suff w:val="tab"/>
      <w:lvlText w:val=""/>
      <w:lvlJc w:val="left"/>
      <w:pPr>
        <w:ind w:hanging="360" w:left="720"/>
      </w:pPr>
      <w:rPr>
        <w:rFonts w:ascii="Symbol" w:hAnsi="Symbol" w:hint="default"/>
      </w:rPr>
    </w:lvl>
    <w:lvl w:ilvl="1" w:tplc="04090003">
      <w:start w:val="1"/>
      <w:numFmt w:val="bullet"/>
      <w:suff w:val="tab"/>
      <w:lvlText w:val="o"/>
      <w:lvlJc w:val="left"/>
      <w:pPr>
        <w:ind w:hanging="360" w:left="1440"/>
      </w:pPr>
      <w:rPr>
        <w:rFonts w:ascii="Courier New" w:hAnsi="Courier New" w:cs="Courier New" w:hint="default"/>
      </w:rPr>
    </w:lvl>
    <w:lvl w:ilvl="2" w:tplc="04090005">
      <w:start w:val="1"/>
      <w:numFmt w:val="bullet"/>
      <w:suff w:val="tab"/>
      <w:lvlText w:val=""/>
      <w:lvlJc w:val="left"/>
      <w:pPr>
        <w:ind w:hanging="360" w:left="2160"/>
      </w:pPr>
      <w:rPr>
        <w:rFonts w:ascii="Wingdings" w:hAnsi="Wingdings" w:hint="default"/>
      </w:rPr>
    </w:lvl>
    <w:lvl w:ilvl="3" w:tplc="04090001">
      <w:start w:val="1"/>
      <w:numFmt w:val="bullet"/>
      <w:suff w:val="tab"/>
      <w:lvlText w:val=""/>
      <w:lvlJc w:val="left"/>
      <w:pPr>
        <w:ind w:hanging="360" w:left="2880"/>
      </w:pPr>
      <w:rPr>
        <w:rFonts w:ascii="Symbol" w:hAnsi="Symbol" w:hint="default"/>
      </w:rPr>
    </w:lvl>
    <w:lvl w:ilvl="4" w:tplc="04090003">
      <w:start w:val="1"/>
      <w:numFmt w:val="bullet"/>
      <w:suff w:val="tab"/>
      <w:lvlText w:val="o"/>
      <w:lvlJc w:val="left"/>
      <w:pPr>
        <w:ind w:hanging="360" w:left="3600"/>
      </w:pPr>
      <w:rPr>
        <w:rFonts w:ascii="Courier New" w:hAnsi="Courier New" w:cs="Courier New" w:hint="default"/>
      </w:rPr>
    </w:lvl>
    <w:lvl w:ilvl="5" w:tplc="04090005">
      <w:start w:val="1"/>
      <w:numFmt w:val="bullet"/>
      <w:suff w:val="tab"/>
      <w:lvlText w:val=""/>
      <w:lvlJc w:val="left"/>
      <w:pPr>
        <w:ind w:hanging="360" w:left="4320"/>
      </w:pPr>
      <w:rPr>
        <w:rFonts w:ascii="Wingdings" w:hAnsi="Wingdings" w:hint="default"/>
      </w:rPr>
    </w:lvl>
    <w:lvl w:ilvl="6" w:tplc="04090001">
      <w:start w:val="1"/>
      <w:numFmt w:val="bullet"/>
      <w:suff w:val="tab"/>
      <w:lvlText w:val=""/>
      <w:lvlJc w:val="left"/>
      <w:pPr>
        <w:ind w:hanging="360" w:left="5040"/>
      </w:pPr>
      <w:rPr>
        <w:rFonts w:ascii="Symbol" w:hAnsi="Symbol" w:hint="default"/>
      </w:rPr>
    </w:lvl>
    <w:lvl w:ilvl="7" w:tplc="04090003">
      <w:start w:val="1"/>
      <w:numFmt w:val="bullet"/>
      <w:suff w:val="tab"/>
      <w:lvlText w:val="o"/>
      <w:lvlJc w:val="left"/>
      <w:pPr>
        <w:ind w:hanging="360" w:left="5760"/>
      </w:pPr>
      <w:rPr>
        <w:rFonts w:ascii="Courier New" w:hAnsi="Courier New" w:cs="Courier New" w:hint="default"/>
      </w:rPr>
    </w:lvl>
    <w:lvl w:ilvl="8" w:tplc="04090005">
      <w:start w:val="1"/>
      <w:numFmt w:val="bullet"/>
      <w:suff w:val="tab"/>
      <w:lvlText w:val=""/>
      <w:lvlJc w:val="left"/>
      <w:pPr>
        <w:ind w:hanging="360" w:left="6480"/>
      </w:pPr>
      <w:rPr>
        <w:rFonts w:ascii="Wingdings" w:hAnsi="Wingdings" w:hint="default"/>
      </w:rPr>
    </w:lvl>
  </w:abstractNum>
  <w:abstractNum w:abstractNumId="7">
    <w:nsid w:val="65425A49"/>
    <w:multiLevelType w:val="multilevel"/>
    <w:lvl w:ilvl="0">
      <w:start w:val="1"/>
      <w:numFmt w:val="bullet"/>
      <w:suff w:val="tab"/>
      <w:lvlText w:val=""/>
      <w:lvlJc w:val="left"/>
      <w:pPr>
        <w:ind w:hanging="360" w:left="720"/>
        <w:tabs>
          <w:tab w:val="left" w:pos="720" w:leader="none"/>
        </w:tabs>
      </w:pPr>
      <w:rPr>
        <w:rFonts w:ascii="Symbol" w:hAnsi="Symbol" w:hint="default"/>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8">
    <w:nsid w:val="74390D7A"/>
    <w:multiLevelType w:val="hybridMultilevel"/>
    <w:lvl w:ilvl="0" w:tplc="04090001">
      <w:start w:val="1"/>
      <w:numFmt w:val="bullet"/>
      <w:suff w:val="tab"/>
      <w:lvlText w:val=""/>
      <w:lvlJc w:val="left"/>
      <w:pPr>
        <w:ind w:hanging="360" w:left="360"/>
      </w:pPr>
      <w:rPr>
        <w:rFonts w:ascii="Symbol" w:hAnsi="Symbol" w:hint="default"/>
      </w:rPr>
    </w:lvl>
    <w:lvl w:ilvl="1" w:tplc="04090003">
      <w:start w:val="1"/>
      <w:numFmt w:val="bullet"/>
      <w:suff w:val="tab"/>
      <w:lvlText w:val="o"/>
      <w:lvlJc w:val="left"/>
      <w:pPr>
        <w:ind w:hanging="360" w:left="1080"/>
      </w:pPr>
      <w:rPr>
        <w:rFonts w:ascii="Courier New" w:hAnsi="Courier New" w:cs="Courier New" w:hint="default"/>
      </w:rPr>
    </w:lvl>
    <w:lvl w:ilvl="2" w:tplc="04090005">
      <w:start w:val="1"/>
      <w:numFmt w:val="bullet"/>
      <w:suff w:val="tab"/>
      <w:lvlText w:val=""/>
      <w:lvlJc w:val="left"/>
      <w:pPr>
        <w:ind w:hanging="360" w:left="1800"/>
      </w:pPr>
      <w:rPr>
        <w:rFonts w:ascii="Wingdings" w:hAnsi="Wingdings" w:hint="default"/>
      </w:rPr>
    </w:lvl>
    <w:lvl w:ilvl="3" w:tplc="04090001">
      <w:start w:val="1"/>
      <w:numFmt w:val="bullet"/>
      <w:suff w:val="tab"/>
      <w:lvlText w:val=""/>
      <w:lvlJc w:val="left"/>
      <w:pPr>
        <w:ind w:hanging="360" w:left="2520"/>
      </w:pPr>
      <w:rPr>
        <w:rFonts w:ascii="Symbol" w:hAnsi="Symbol" w:hint="default"/>
      </w:rPr>
    </w:lvl>
    <w:lvl w:ilvl="4" w:tplc="04090003">
      <w:start w:val="1"/>
      <w:numFmt w:val="bullet"/>
      <w:suff w:val="tab"/>
      <w:lvlText w:val="o"/>
      <w:lvlJc w:val="left"/>
      <w:pPr>
        <w:ind w:hanging="360" w:left="3240"/>
      </w:pPr>
      <w:rPr>
        <w:rFonts w:ascii="Courier New" w:hAnsi="Courier New" w:cs="Courier New" w:hint="default"/>
      </w:rPr>
    </w:lvl>
    <w:lvl w:ilvl="5" w:tplc="04090005">
      <w:start w:val="1"/>
      <w:numFmt w:val="bullet"/>
      <w:suff w:val="tab"/>
      <w:lvlText w:val=""/>
      <w:lvlJc w:val="left"/>
      <w:pPr>
        <w:ind w:hanging="360" w:left="3960"/>
      </w:pPr>
      <w:rPr>
        <w:rFonts w:ascii="Wingdings" w:hAnsi="Wingdings" w:hint="default"/>
      </w:rPr>
    </w:lvl>
    <w:lvl w:ilvl="6" w:tplc="04090001">
      <w:start w:val="1"/>
      <w:numFmt w:val="bullet"/>
      <w:suff w:val="tab"/>
      <w:lvlText w:val=""/>
      <w:lvlJc w:val="left"/>
      <w:pPr>
        <w:ind w:hanging="360" w:left="4680"/>
      </w:pPr>
      <w:rPr>
        <w:rFonts w:ascii="Symbol" w:hAnsi="Symbol" w:hint="default"/>
      </w:rPr>
    </w:lvl>
    <w:lvl w:ilvl="7" w:tplc="04090003">
      <w:start w:val="1"/>
      <w:numFmt w:val="bullet"/>
      <w:suff w:val="tab"/>
      <w:lvlText w:val="o"/>
      <w:lvlJc w:val="left"/>
      <w:pPr>
        <w:ind w:hanging="360" w:left="5400"/>
      </w:pPr>
      <w:rPr>
        <w:rFonts w:ascii="Courier New" w:hAnsi="Courier New" w:cs="Courier New" w:hint="default"/>
      </w:rPr>
    </w:lvl>
    <w:lvl w:ilvl="8" w:tplc="04090005">
      <w:start w:val="1"/>
      <w:numFmt w:val="bullet"/>
      <w:suff w:val="tab"/>
      <w:lvlText w:val=""/>
      <w:lvlJc w:val="left"/>
      <w:pPr>
        <w:ind w:hanging="360" w:left="6120"/>
      </w:pPr>
      <w:rPr>
        <w:rFonts w:ascii="Wingdings" w:hAnsi="Wingdings" w:hint="default"/>
      </w:rPr>
    </w:lvl>
  </w:abstractNum>
  <w:abstractNum w:abstractNumId="9">
    <w:nsid w:val="7BA66387"/>
    <w:multiLevelType w:val="hybridMultilevel"/>
    <w:lvl w:ilvl="0" w:tplc="04090001">
      <w:start w:val="1"/>
      <w:numFmt w:val="bullet"/>
      <w:suff w:val="tab"/>
      <w:lvlText w:val=""/>
      <w:lvlJc w:val="left"/>
      <w:pPr>
        <w:ind w:hanging="360" w:left="2880"/>
      </w:pPr>
      <w:rPr>
        <w:rFonts w:ascii="Symbol" w:hAnsi="Symbol" w:hint="default"/>
      </w:rPr>
    </w:lvl>
    <w:lvl w:ilvl="1" w:tplc="04090003">
      <w:start w:val="1"/>
      <w:numFmt w:val="bullet"/>
      <w:suff w:val="tab"/>
      <w:lvlText w:val="o"/>
      <w:lvlJc w:val="left"/>
      <w:pPr>
        <w:ind w:hanging="360" w:left="3600"/>
      </w:pPr>
      <w:rPr>
        <w:rFonts w:ascii="Courier New" w:hAnsi="Courier New" w:cs="Courier New" w:hint="default"/>
      </w:rPr>
    </w:lvl>
    <w:lvl w:ilvl="2" w:tplc="04090005">
      <w:start w:val="1"/>
      <w:numFmt w:val="bullet"/>
      <w:suff w:val="tab"/>
      <w:lvlText w:val=""/>
      <w:lvlJc w:val="left"/>
      <w:pPr>
        <w:ind w:hanging="360" w:left="4320"/>
      </w:pPr>
      <w:rPr>
        <w:rFonts w:ascii="Wingdings" w:hAnsi="Wingdings" w:hint="default"/>
      </w:rPr>
    </w:lvl>
    <w:lvl w:ilvl="3" w:tplc="04090001">
      <w:start w:val="1"/>
      <w:numFmt w:val="bullet"/>
      <w:suff w:val="tab"/>
      <w:lvlText w:val=""/>
      <w:lvlJc w:val="left"/>
      <w:pPr>
        <w:ind w:hanging="360" w:left="5040"/>
      </w:pPr>
      <w:rPr>
        <w:rFonts w:ascii="Symbol" w:hAnsi="Symbol" w:hint="default"/>
      </w:rPr>
    </w:lvl>
    <w:lvl w:ilvl="4" w:tplc="04090003">
      <w:start w:val="1"/>
      <w:numFmt w:val="bullet"/>
      <w:suff w:val="tab"/>
      <w:lvlText w:val="o"/>
      <w:lvlJc w:val="left"/>
      <w:pPr>
        <w:ind w:hanging="360" w:left="5760"/>
      </w:pPr>
      <w:rPr>
        <w:rFonts w:ascii="Courier New" w:hAnsi="Courier New" w:cs="Courier New" w:hint="default"/>
      </w:rPr>
    </w:lvl>
    <w:lvl w:ilvl="5" w:tplc="04090005">
      <w:start w:val="1"/>
      <w:numFmt w:val="bullet"/>
      <w:suff w:val="tab"/>
      <w:lvlText w:val=""/>
      <w:lvlJc w:val="left"/>
      <w:pPr>
        <w:ind w:hanging="360" w:left="6480"/>
      </w:pPr>
      <w:rPr>
        <w:rFonts w:ascii="Wingdings" w:hAnsi="Wingdings" w:hint="default"/>
      </w:rPr>
    </w:lvl>
    <w:lvl w:ilvl="6" w:tplc="04090001">
      <w:start w:val="1"/>
      <w:numFmt w:val="bullet"/>
      <w:suff w:val="tab"/>
      <w:lvlText w:val=""/>
      <w:lvlJc w:val="left"/>
      <w:pPr>
        <w:ind w:hanging="360" w:left="7200"/>
      </w:pPr>
      <w:rPr>
        <w:rFonts w:ascii="Symbol" w:hAnsi="Symbol" w:hint="default"/>
      </w:rPr>
    </w:lvl>
    <w:lvl w:ilvl="7" w:tplc="04090003">
      <w:start w:val="1"/>
      <w:numFmt w:val="bullet"/>
      <w:suff w:val="tab"/>
      <w:lvlText w:val="o"/>
      <w:lvlJc w:val="left"/>
      <w:pPr>
        <w:ind w:hanging="360" w:left="7920"/>
      </w:pPr>
      <w:rPr>
        <w:rFonts w:ascii="Courier New" w:hAnsi="Courier New" w:cs="Courier New" w:hint="default"/>
      </w:rPr>
    </w:lvl>
    <w:lvl w:ilvl="8" w:tplc="04090005">
      <w:start w:val="1"/>
      <w:numFmt w:val="bullet"/>
      <w:suff w:val="tab"/>
      <w:lvlText w:val=""/>
      <w:lvlJc w:val="left"/>
      <w:pPr>
        <w:ind w:hanging="360" w:left="864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r="http://schemas.openxmlformats.org/officeDocument/2006/relationships" xmlns:w="http://schemas.openxmlformats.org/wordprocessingml/2006/main">
  <w:displayBackgroundShape w:val="0"/>
  <w:defaultTabStop w:val="720"/>
  <w:autoHyphenation w:val="0"/>
  <w:evenAndOddHeaders w:val="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m:mathPr xmlns:m="http://schemas.openxmlformats.org/officeDocument/2006/math">
    <m:brkBin m:val="before"/>
    <m:brkBinSub m:val="--"/>
    <m:defJc m:val="centerGroup"/>
    <m:dispDef/>
    <m:interSp m:val="0"/>
    <m:intLim m:val="subSup"/>
    <m:intraSp m:val="0"/>
    <m:lMargin m:val="0"/>
    <m:mathFont m:val="Cambria Math"/>
    <m:naryLim m:val="undOvr"/>
    <m:postSp m:val="0"/>
    <m:preSp m:val="0"/>
    <m:rMargin m:val="0"/>
    <m:smallFrac/>
    <m:wrapIndent m:val="1440"/>
    <m:wrapRight m:val="0"/>
  </m:mathPr>
  <w:clrSchemeMapping w:bg1="light1" w:t1="dark1" w:bg2="light2" w:t2="dark2" w:accent1="accent1" w:accent2="accent2" w:accent3="accent3" w:accent4="accent4" w:accent5="accent5" w:accent6="accent6" w:hyperlink="hyperlink" w:followedHyperlink="followedHyperlink"/>
  <w:footnotePr>
    <w:footnote w:id="-1"/>
    <w:footnote w:id="0"/>
  </w:footnotePr>
  <w:endnotePr>
    <w:endnote w:id="-1"/>
    <w:endnote w:id="0"/>
  </w:endnotePr>
</w:settings>
</file>

<file path=word/styles.xml><?xml version="1.0" encoding="utf-8"?>
<w:styles xmlns:w="http://schemas.openxmlformats.org/wordprocessingml/2006/main">
  <w:docDefaults>
    <w:rPrDefault>
      <w:rPr>
        <w:rFonts w:asciiTheme="minorHAnsi" w:hAnsiTheme="minorHAnsi" w:cstheme="minorBidi" w:eastAsiaTheme="minorHAnsi"/>
        <w:sz w:val="22"/>
        <w:szCs w:val="22"/>
        <w:lang w:val="en-US" w:bidi="ar-SA" w:eastAsia="en-US"/>
      </w:rPr>
    </w:rPrDefault>
    <w:pPrDefault>
      <w:pPr>
        <w:keepNext w:val="0"/>
        <w:keepLines w:val="0"/>
        <w:pageBreakBefore w:val="0"/>
        <w:widowControl w:val="1"/>
        <w:suppressLineNumbers w:val="0"/>
        <w:shd w:val="clear" w:fill="auto"/>
        <w:suppressAutoHyphens w:val="0"/>
        <w:spacing w:lineRule="auto" w:line="259" w:before="0" w:after="160" w:beforeAutospacing="0" w:afterAutospacing="0"/>
        <w:ind w:firstLine="0" w:left="0" w:right="0"/>
        <w:contextualSpacing w:val="0"/>
        <w:bidi w:val="0"/>
        <w:jc w:val="left"/>
        <w:outlineLvl w:val="9"/>
      </w:pPr>
    </w:pPrDefault>
  </w:docDefaults>
  <w:style w:type="paragraph" w:styleId="P0" w:default="1">
    <w:name w:val="Normal"/>
    <w:qFormat/>
    <w:pPr>
      <w:spacing w:lineRule="auto" w:line="240" w:after="0" w:beforeAutospacing="0" w:afterAutospacing="0"/>
    </w:pPr>
    <w:rPr>
      <w:rFonts w:ascii="Arial" w:hAnsi="Arial"/>
    </w:rPr>
  </w:style>
  <w:style w:type="paragraph" w:styleId="P1">
    <w:name w:val="Style1"/>
    <w:basedOn w:val="P0"/>
    <w:link w:val="C3"/>
    <w:qFormat/>
    <w:pPr/>
    <w:rPr>
      <w:noProof w:val="1"/>
      <w:sz w:val="20"/>
    </w:rPr>
  </w:style>
  <w:style w:type="paragraph" w:styleId="P2">
    <w:name w:val="My Style"/>
    <w:basedOn w:val="P0"/>
    <w:link w:val="C4"/>
    <w:qFormat/>
    <w:pPr>
      <w:pBdr>
        <w:top w:val="nil" w:sz="0" w:space="0" w:shadow="0" w:frame="0" w:color="auto"/>
        <w:left w:val="nil" w:sz="0" w:space="0" w:shadow="0" w:frame="0" w:color="auto"/>
        <w:bottom w:val="nil" w:sz="0" w:space="0" w:shadow="0" w:frame="0" w:color="auto"/>
        <w:right w:val="nil" w:sz="0" w:space="0" w:shadow="0" w:frame="0" w:color="auto"/>
        <w:between w:val="nil" w:sz="0" w:space="0" w:shadow="0" w:frame="0" w:color="auto"/>
      </w:pBdr>
    </w:pPr>
    <w:rPr>
      <w:rFonts w:cs="Arial"/>
      <w:bCs w:val="1"/>
      <w:color w:val="000000"/>
    </w:rPr>
  </w:style>
  <w:style w:type="paragraph" w:styleId="P3">
    <w:name w:val="Style2"/>
    <w:basedOn w:val="P1"/>
    <w:link w:val="C5"/>
    <w:qFormat/>
    <w:pPr/>
    <w:rPr/>
  </w:style>
  <w:style w:type="paragraph" w:styleId="P4">
    <w:name w:val="Title"/>
    <w:basedOn w:val="P0"/>
    <w:next w:val="P0"/>
    <w:link w:val="C6"/>
    <w:qFormat/>
    <w:pPr>
      <w:pBdr>
        <w:top w:val="none" w:sz="0" w:space="0" w:shadow="0" w:frame="0" w:color="auto"/>
        <w:left w:val="none" w:sz="0" w:space="0" w:shadow="0" w:frame="0" w:color="auto"/>
        <w:bottom w:val="single" w:sz="4" w:space="4" w:shadow="0" w:frame="0" w:color="auto"/>
        <w:right w:val="none" w:sz="0" w:space="0" w:shadow="0" w:frame="0" w:color="auto"/>
        <w:between w:val="none" w:sz="0" w:space="0" w:shadow="0" w:frame="0" w:color="auto"/>
      </w:pBdr>
    </w:pPr>
    <w:rPr>
      <w:rFonts w:cs="Arial" w:eastAsia="Times New Roman"/>
      <w:b w:val="1"/>
      <w:bCs w:val="1"/>
      <w:sz w:val="32"/>
      <w:szCs w:val="32"/>
      <w:spacing w:val="60"/>
      <w:lang w:val="de-CH" w:eastAsia="de-DE"/>
    </w:rPr>
  </w:style>
  <w:style w:type="paragraph" w:styleId="P5">
    <w:name w:val="List Paragraph"/>
    <w:basedOn w:val="P0"/>
    <w:qFormat/>
    <w:pPr>
      <w:ind w:left="720"/>
      <w:contextualSpacing w:val="1"/>
    </w:pPr>
    <w:rPr>
      <w:rFonts w:ascii="Times New Roman" w:hAnsi="Times New Roman" w:cs="Times New Roman" w:eastAsia="Times New Roman"/>
      <w:sz w:val="24"/>
      <w:szCs w:val="24"/>
    </w:rPr>
  </w:style>
  <w:style w:type="paragraph" w:styleId="P6">
    <w:name w:val="Header"/>
    <w:basedOn w:val="P0"/>
    <w:link w:val="C7"/>
    <w:pPr>
      <w:tabs>
        <w:tab w:val="center" w:pos="4986" w:leader="none"/>
        <w:tab w:val="right" w:pos="9972" w:leader="none"/>
      </w:tabs>
    </w:pPr>
    <w:rPr/>
  </w:style>
  <w:style w:type="paragraph" w:styleId="P7">
    <w:name w:val="Footer"/>
    <w:basedOn w:val="P0"/>
    <w:link w:val="C8"/>
    <w:pPr>
      <w:tabs>
        <w:tab w:val="center" w:pos="4986" w:leader="none"/>
        <w:tab w:val="right" w:pos="9972" w:leader="none"/>
      </w:tabs>
    </w:pPr>
    <w:rPr/>
  </w:style>
  <w:style w:type="paragraph" w:styleId="P8">
    <w:name w:val="Style3"/>
    <w:basedOn w:val="P4"/>
    <w:link w:val="C9"/>
    <w:qFormat/>
    <w:pPr>
      <w:pBdr>
        <w:top w:val="single" w:sz="36" w:space="1" w:shadow="0" w:frame="0" w:color="E3E9F1"/>
        <w:left w:val="single" w:sz="36" w:space="4" w:shadow="0" w:frame="0" w:color="E3E9F1"/>
        <w:bottom w:val="single" w:sz="36" w:space="1" w:shadow="0" w:frame="0" w:color="E3E9F1"/>
        <w:right w:val="single" w:sz="36" w:space="4" w:shadow="0" w:frame="0" w:color="E3E9F1"/>
        <w:between w:val="none" w:sz="0" w:space="0" w:shadow="0" w:frame="0" w:color="auto"/>
      </w:pBdr>
      <w:shd w:val="clear" w:fill="E3E9F1"/>
      <w:jc w:val="center"/>
    </w:pPr>
    <w:rPr>
      <w:rFonts w:ascii="Times New Roman" w:hAnsi="Times New Roman"/>
      <w:b w:val="0"/>
      <w:color w:val="595959" w:themeColor="text1"/>
      <w:sz w:val="24"/>
      <w:szCs w:val="4"/>
    </w:rPr>
  </w:style>
  <w:style w:type="paragraph" w:styleId="P9">
    <w:name w:val="Style4"/>
    <w:basedOn w:val="P8"/>
    <w:link w:val="C10"/>
    <w:qFormat/>
    <w:pPr>
      <w:pBdr>
        <w:top w:val="single" w:sz="48" w:space="1" w:shadow="0" w:frame="0" w:color="F3F1F1" w:themeColor="accent5"/>
        <w:left w:val="single" w:sz="48" w:space="4" w:shadow="0" w:frame="0" w:color="F3F1F1" w:themeColor="accent5"/>
        <w:bottom w:val="single" w:sz="48" w:space="1" w:shadow="0" w:frame="0" w:color="F3F1F1" w:themeColor="accent5"/>
        <w:right w:val="single" w:sz="48" w:space="4" w:shadow="0" w:frame="0" w:color="F3F1F1" w:themeColor="accent5"/>
        <w:between w:val="none" w:sz="0" w:space="0" w:shadow="0" w:frame="0" w:color="auto"/>
      </w:pBdr>
      <w:shd w:val="clear" w:fill="F3F1F1" w:themeFill="accent5"/>
    </w:pPr>
    <w:rPr>
      <w:rFonts w:ascii="Arial" w:hAnsi="Arial"/>
      <w:color w:val="595959" w:themeColor="text2"/>
      <w:sz w:val="22"/>
      <w:spacing w:val="32"/>
    </w:rPr>
  </w:style>
  <w:style w:type="paragraph" w:styleId="P10">
    <w:name w:val="Footnote Text"/>
    <w:link w:val="C15"/>
    <w:semiHidden/>
    <w:pPr>
      <w:spacing w:lineRule="auto" w:line="240" w:after="0" w:beforeAutospacing="0" w:afterAutospacing="0"/>
    </w:pPr>
    <w:rPr>
      <w:sz w:val="20"/>
      <w:szCs w:val="20"/>
    </w:rPr>
  </w:style>
  <w:style w:type="paragraph" w:styleId="P11">
    <w:name w:val="Endnote Text"/>
    <w:link w:val="C17"/>
    <w:semiHidden/>
    <w:pPr>
      <w:spacing w:lineRule="auto" w:line="240" w:after="0" w:beforeAutospacing="0" w:afterAutospacing="0"/>
    </w:pPr>
    <w:rPr>
      <w:sz w:val="20"/>
      <w:szCs w:val="20"/>
    </w:rPr>
  </w:style>
  <w:style w:type="character" w:styleId="C0" w:default="1">
    <w:name w:val="Default Paragraph Font"/>
    <w:semiHidden/>
    <w:rPr/>
  </w:style>
  <w:style w:type="character" w:styleId="C1">
    <w:name w:val="Line Number"/>
    <w:basedOn w:val="C0"/>
    <w:semiHidden/>
    <w:rPr/>
  </w:style>
  <w:style w:type="character" w:styleId="C2">
    <w:name w:val="Hyperlink"/>
    <w:basedOn w:val="C0"/>
    <w:rPr>
      <w:color w:val="A6BEBA" w:themeColor="hyperlink"/>
      <w:u w:val="single"/>
    </w:rPr>
  </w:style>
  <w:style w:type="character" w:styleId="C3">
    <w:name w:val="Style1 Char"/>
    <w:basedOn w:val="C0"/>
    <w:link w:val="P1"/>
    <w:rPr>
      <w:rFonts w:ascii="Arial" w:hAnsi="Arial"/>
      <w:noProof w:val="1"/>
      <w:sz w:val="20"/>
    </w:rPr>
  </w:style>
  <w:style w:type="character" w:styleId="C4">
    <w:name w:val="My Style Char"/>
    <w:basedOn w:val="C0"/>
    <w:link w:val="P2"/>
    <w:rPr>
      <w:rFonts w:ascii="Arial" w:hAnsi="Arial" w:cs="Arial"/>
      <w:bCs w:val="1"/>
      <w:color w:val="000000"/>
    </w:rPr>
  </w:style>
  <w:style w:type="character" w:styleId="C5">
    <w:name w:val="Style2 Char"/>
    <w:basedOn w:val="C3"/>
    <w:link w:val="P3"/>
    <w:rPr>
      <w:rFonts w:ascii="Arial" w:hAnsi="Arial"/>
      <w:noProof w:val="1"/>
      <w:sz w:val="20"/>
    </w:rPr>
  </w:style>
  <w:style w:type="character" w:styleId="C6">
    <w:name w:val="Title Char"/>
    <w:basedOn w:val="C0"/>
    <w:link w:val="P4"/>
    <w:rPr>
      <w:rFonts w:ascii="Arial" w:hAnsi="Arial" w:cs="Arial" w:eastAsia="Times New Roman"/>
      <w:b w:val="1"/>
      <w:bCs w:val="1"/>
      <w:sz w:val="32"/>
      <w:szCs w:val="32"/>
      <w:spacing w:val="60"/>
      <w:lang w:val="de-CH" w:eastAsia="de-DE"/>
    </w:rPr>
  </w:style>
  <w:style w:type="character" w:styleId="C7">
    <w:name w:val="Header Char"/>
    <w:basedOn w:val="C0"/>
    <w:link w:val="P6"/>
    <w:rPr>
      <w:rFonts w:ascii="Arial" w:hAnsi="Arial"/>
    </w:rPr>
  </w:style>
  <w:style w:type="character" w:styleId="C8">
    <w:name w:val="Footer Char"/>
    <w:basedOn w:val="C0"/>
    <w:link w:val="P7"/>
    <w:rPr>
      <w:rFonts w:ascii="Arial" w:hAnsi="Arial"/>
    </w:rPr>
  </w:style>
  <w:style w:type="character" w:styleId="C9">
    <w:name w:val="Style3 Char"/>
    <w:basedOn w:val="C6"/>
    <w:link w:val="P8"/>
    <w:rPr>
      <w:rFonts w:ascii="Times New Roman" w:hAnsi="Times New Roman" w:cs="Arial" w:eastAsia="Times New Roman"/>
      <w:b w:val="0"/>
      <w:bCs w:val="1"/>
      <w:color w:val="595959" w:themeColor="text1"/>
      <w:sz w:val="24"/>
      <w:szCs w:val="4"/>
      <w:shd w:val="clear" w:color="auto" w:fill="E3E9F1"/>
      <w:spacing w:val="60"/>
      <w:lang w:val="de-CH" w:eastAsia="de-DE"/>
    </w:rPr>
  </w:style>
  <w:style w:type="character" w:styleId="C10">
    <w:name w:val="Style4 Char"/>
    <w:basedOn w:val="C9"/>
    <w:link w:val="P9"/>
    <w:rPr>
      <w:rFonts w:ascii="Arial" w:hAnsi="Arial" w:cs="Arial" w:eastAsia="Times New Roman"/>
      <w:b w:val="0"/>
      <w:bCs w:val="1"/>
      <w:color w:val="595959" w:themeColor="text2"/>
      <w:sz w:val="24"/>
      <w:szCs w:val="4"/>
      <w:shd w:val="clear" w:color="auto" w:fill="F3F1F1" w:themeFill="accent5"/>
      <w:spacing w:val="32"/>
      <w:lang w:val="de-CH" w:eastAsia="de-DE"/>
    </w:rPr>
  </w:style>
  <w:style w:type="character" w:styleId="C11">
    <w:name w:val="Unresolved Mention1"/>
    <w:basedOn w:val="C0"/>
    <w:semiHidden/>
    <w:rPr>
      <w:color w:val="605E5C"/>
      <w:shd w:val="clear" w:color="auto" w:fill="E1DFDD"/>
    </w:rPr>
  </w:style>
  <w:style w:type="character" w:styleId="C12">
    <w:name w:val="FollowedHyperlink"/>
    <w:basedOn w:val="C0"/>
    <w:semiHidden/>
    <w:rPr>
      <w:color w:val="A5A5A5" w:themeColor="followedHyperlink"/>
      <w:u w:val="single"/>
    </w:rPr>
  </w:style>
  <w:style w:type="character" w:styleId="C13">
    <w:name w:val="hljs-comment"/>
    <w:basedOn w:val="C0"/>
    <w:rPr/>
  </w:style>
  <w:style w:type="character" w:styleId="C14">
    <w:name w:val="Footnote Reference"/>
    <w:semiHidden/>
    <w:rPr>
      <w:vertAlign w:val="superscript"/>
    </w:rPr>
  </w:style>
  <w:style w:type="character" w:styleId="C15">
    <w:name w:val="Footnote Text Char"/>
    <w:link w:val="P10"/>
    <w:semiHidden/>
    <w:rPr>
      <w:sz w:val="20"/>
      <w:szCs w:val="20"/>
    </w:rPr>
  </w:style>
  <w:style w:type="character" w:styleId="C16">
    <w:name w:val="Endnote Reference"/>
    <w:semiHidden/>
    <w:rPr>
      <w:vertAlign w:val="superscript"/>
    </w:rPr>
  </w:style>
  <w:style w:type="character" w:styleId="C17">
    <w:name w:val="Endnote Text Char"/>
    <w:link w:val="P11"/>
    <w:semiHidden/>
    <w:rPr>
      <w:sz w:val="20"/>
      <w:szCs w:val="20"/>
    </w:rPr>
  </w:style>
  <w:style w:type="table" w:styleId="T0" w:default="1">
    <w:name w:val="Normal Table"/>
    <w:semiHidden/>
    <w:tblPr>
      <w:tblInd w:w="0" w:type="dxa"/>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numbering" w:styleId="N0">
    <w:name w:val="No List"/>
  </w:style>
</w:styles>
</file>

<file path=word/_rels/document.xml.rels>&#65279;<?xml version="1.0" encoding="utf-8"?><Relationships xmlns="http://schemas.openxmlformats.org/package/2006/relationships"><Relationship Id="RelFnt1" Type="http://schemas.openxmlformats.org/officeDocument/2006/relationships/footnotes" Target="footnotes.xml" /><Relationship Id="RelEnt1" Type="http://schemas.openxmlformats.org/officeDocument/2006/relationships/endnotes" Target="endnotes.xml" /><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 Id="RelItem1" Type="http://schemas.openxmlformats.org/officeDocument/2006/relationships/customXml" Target="../customXml/item1.xml" /></Relationships>
</file>

<file path=word/_rels/endnotes.xml.rels>&#65279;<?xml version="1.0" encoding="utf-8"?><Relationships xmlns="http://schemas.openxmlformats.org/package/2006/relationships" />
</file>

<file path=word/_rels/footnotes.xml.rels>&#65279;<?xml version="1.0" encoding="utf-8"?><Relationships xmlns="http://schemas.openxmlformats.org/package/2006/relationships" />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tileRect/>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tileRect/>
        </a:gradFill>
      </a:fillStyleLst>
      <a:lnStyleLst>
        <a:ln w="6350" cmpd="sng" algn="ctr">
          <a:solidFill>
            <a:schemeClr val="phClr"/>
          </a:solidFill>
          <a:prstDash val="solid"/>
          <a:miter lim="800000"/>
        </a:ln>
        <a:ln w="12700" cmpd="sng" algn="ctr">
          <a:solidFill>
            <a:schemeClr val="phClr"/>
          </a:solidFill>
          <a:prstDash val="solid"/>
          <a:miter lim="800000"/>
        </a:ln>
        <a:ln w="19050"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tileRect/>
        </a:gradFill>
      </a:bgFillStyleLst>
    </a:fmtScheme>
  </a:themeElements>
</a:theme>
</file>

<file path=customXml/_rels/item1.xml.rels>&#65279;<?xml version="1.0" encoding="utf-8"?><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5ad3cf-cef3-4419-8741-163a72fcfe82}">
  <ds:schemaRefs>
    <ds:schemaRef ds:uri="http://schemas.microsoft.com/vsto/samples"/>
  </ds:schemaRefs>
</ds:datastoreItem>
</file>

<file path=docProps/app.xml><?xml version="1.0" encoding="utf-8"?>
<Properties xmlns="http://schemas.openxmlformats.org/officeDocument/2006/extended-properties">
  <Application>DevExpress Office File API/25.1.3.0</Application>
  <AppVersion>25.1</AppVersion>
  <Template>Normal.dotm</Template>
</Properties>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terms:created xsi:type="dcterms:W3CDTF">2024-01-03T13:34:00Z</dcterms:created>
  <dcterms:modified xsi:type="dcterms:W3CDTF">2026-03-12T16:38:33Z</dcterms:modified>
  <cp:revision>136</cp:revision>
</cp:coreProperties>
</file>