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Tools Support Specialist with over 11 years of experience in software development, specializing in web and mobile applications. Proven expertise in providing operational support, data processing, and analytics to enhance client engagement and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Bash,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jQuery,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MySQL, PostgreSQL, MongoDB, CSV,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Reporting:</w:t>
      </w:r>
      <w:r w:rsidRPr="00745DD3">
        <w:rPr>
          <w:rFonts w:ascii="Roboto Light" w:eastAsia="Roboto Light" w:hAnsi="Roboto Light" w:cs="Roboto Light"/>
          <w:color w:val="404040" w:themeColor="text1" w:themeTint="BF"/>
          <w:sz w:val="20"/>
          <w:szCs w:val="20"/>
        </w:rPr>
        <w:t xml:space="preserve"> Tableau, Power BI, Google Analytics,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Visual Studio Code,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RESTful APIs, GraphQL, Webhook technologies, XML, Cloud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operational support on client-facing tools by onboarding new users, setting permissions, and monitoring performance to ensure efficient voter contact programs for progressive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metadata databases underlying various Catalist tools to ensure accurate data representation and accessibility to internal teams and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Received, triaged, and responded to tools support issues logged in service tickets, actively engaging with clients and internal staff to fully understand and resolve underlying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an advanced user for all client-facing applications, utilizing </w:t>
      </w:r>
      <w:r w:rsidRPr="00745DD3">
        <w:rPr>
          <w:rFonts w:ascii="Roboto Light" w:eastAsia="Roboto Light" w:hAnsi="Roboto Light" w:cs="Roboto Light"/>
          <w:b/>
          <w:bCs/>
          <w:color w:val="404040" w:themeColor="text1" w:themeTint="BF"/>
          <w:sz w:val="20"/>
          <w:szCs w:val="20"/>
        </w:rPr>
        <w:t xml:space="preserve">Catalist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assist clients in their needs and facilitate their operational requirements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knowledge of </w:t>
      </w:r>
      <w:r w:rsidRPr="00745DD3">
        <w:rPr>
          <w:rFonts w:ascii="Roboto Light" w:eastAsia="Roboto Light" w:hAnsi="Roboto Light" w:cs="Roboto Light"/>
          <w:b/>
          <w:bCs/>
          <w:color w:val="404040" w:themeColor="text1" w:themeTint="BF"/>
          <w:sz w:val="20"/>
          <w:szCs w:val="20"/>
        </w:rPr>
        <w:t xml:space="preserve">Catalist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practical applications, ensuring effective usage by clients across various platforms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Account Executives in managing client access to </w:t>
      </w:r>
      <w:r w:rsidRPr="00745DD3">
        <w:rPr>
          <w:rFonts w:ascii="Roboto Light" w:eastAsia="Roboto Light" w:hAnsi="Roboto Light" w:cs="Roboto Light"/>
          <w:b/>
          <w:bCs/>
          <w:color w:val="404040" w:themeColor="text1" w:themeTint="BF"/>
          <w:sz w:val="20"/>
          <w:szCs w:val="20"/>
        </w:rPr>
        <w:t xml:space="preserve">Catalist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contractual limits while maintaining strong communication for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reports to analyze client usage patterns of application features and services, providing insights to improve service delivery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service tickets from initiation to resolution, ensuring solutions were delivered in a timely manner while documenting processes for future reference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tool functionalities, participated in internal meetings to share updates on issue statuses and addressed challenges proactively.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querying and maintaining data integrity within internal reporting tools to support better decision-making processes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training and professional development sessions to keep abreast of technological advancements and best practices within the civic technology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managing service-level agreements related to ticket resolutions, ensuring a high standard of support for clients' operational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multiple simultaneous tasks effectively while maintaining a clear focus on client satisfaction, demonstrating strong </w:t>
      </w:r>
      <w:r w:rsidRPr="00745DD3">
        <w:rPr>
          <w:rFonts w:ascii="Roboto Light" w:eastAsia="Roboto Light" w:hAnsi="Roboto Light" w:cs="Roboto Light"/>
          <w:b/>
          <w:bCs/>
          <w:color w:val="404040" w:themeColor="text1" w:themeTint="BF"/>
          <w:sz w:val="20"/>
          <w:szCs w:val="20"/>
        </w:rPr>
        <w:t xml:space="preserve">time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in high-pressure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audits focused on application usage by clients, identifying trends and areas for improvement in service delivery and client engagement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brainstorming sessions to drive innovation in tools and services offered to clients, applying industry trends to inform new feature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backend services to enhance functionality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processes for web applications, utilizing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code quality and streamline deployment processes within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user-friendly interfaces, applying principles of </w:t>
      </w:r>
      <w:r w:rsidRPr="00745DD3">
        <w:rPr>
          <w:rFonts w:ascii="Roboto Light" w:eastAsia="Roboto Light" w:hAnsi="Roboto Light" w:cs="Roboto Light"/>
          <w:b/>
          <w:bCs/>
          <w:color w:val="404040" w:themeColor="text1" w:themeTint="BF"/>
          <w:sz w:val="20"/>
          <w:szCs w:val="20"/>
        </w:rPr>
        <w:t xml:space="preserve">UX/UI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usability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for various services, leveraging both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formats to ensure flexibility and ease of integration for external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database management and optimization tasks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fast data retrieval and efficient processing of user requests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 sessions to maintain high standards in software development, enabling continuous improvement within the engineering team and enhancing code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project managers to define project scopes and objectives, consistently aligning technical deliverables with business goals and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version control, documenting software development processes and maintaining collaborative workflows within distributed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for team members on emerging technologies, fostering a culture of knowledge sharing and continuous learning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Scrum methodologies, ensuring timely deliverables and fostering collaboration across teams to adapt to changing project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on best practices in software development—guiding them in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ensuring adherence to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engineers to implement data ingestion pipelines, utilizing </w:t>
      </w:r>
      <w:r w:rsidRPr="00745DD3">
        <w:rPr>
          <w:rFonts w:ascii="Roboto Light" w:eastAsia="Roboto Light" w:hAnsi="Roboto Light" w:cs="Roboto Light"/>
          <w:b/>
          <w:bCs/>
          <w:color w:val="404040" w:themeColor="text1" w:themeTint="BF"/>
          <w:sz w:val="20"/>
          <w:szCs w:val="20"/>
        </w:rPr>
        <w:t xml:space="preserve">ETL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analysis and reporting capabilities for enhanced decision-making.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