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Technology Lead with 9 years in software development specializing in Machine Learning (ML), Artificial Intelligence (AI), and Generative AI for financial compliance. Proven track record in building innovative solutions that enhance detection and reduce false positives in Anti-Money Laundering (AML). Adept in collaborating with multidisciplinary teams to drive analytics, optimize workflows, and implement governance frameworks. Committed to delivering actionable insights and guiding teams towards excellence in technology-driven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JavaScript, C++, Scala,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 Frameworks:</w:t>
      </w:r>
      <w:r w:rsidRPr="00745DD3">
        <w:rPr>
          <w:rFonts w:ascii="Roboto Light" w:eastAsia="Roboto Light" w:hAnsi="Roboto Light" w:cs="Roboto Light"/>
          <w:color w:val="404040" w:themeColor="text1" w:themeTint="BF"/>
          <w:sz w:val="20"/>
          <w:szCs w:val="20"/>
        </w:rPr>
        <w:t xml:space="preserve"> TensorFlow, PyTorch, scikit-learn, Keras,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Pandas, NumPy, Matplotlib, Power BI, Tableau,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Tools:</w:t>
      </w:r>
      <w:r w:rsidRPr="00745DD3">
        <w:rPr>
          <w:rFonts w:ascii="Roboto Light" w:eastAsia="Roboto Light" w:hAnsi="Roboto Light" w:cs="Roboto Light"/>
          <w:color w:val="404040" w:themeColor="text1" w:themeTint="BF"/>
          <w:sz w:val="20"/>
          <w:szCs w:val="20"/>
        </w:rPr>
        <w:t xml:space="preserve"> AWS, Azure, GCP,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Generative AI Technologies:</w:t>
      </w:r>
      <w:r w:rsidRPr="00745DD3">
        <w:rPr>
          <w:rFonts w:ascii="Roboto Light" w:eastAsia="Roboto Light" w:hAnsi="Roboto Light" w:cs="Roboto Light"/>
          <w:color w:val="404040" w:themeColor="text1" w:themeTint="BF"/>
          <w:sz w:val="20"/>
          <w:szCs w:val="20"/>
        </w:rPr>
        <w:t xml:space="preserve"> GPT-3, BERT, Hugging Face, Prompt Engineering, LLMs, NLP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compliance teams to define the </w:t>
      </w:r>
      <w:r w:rsidRPr="00745DD3">
        <w:rPr>
          <w:rFonts w:ascii="Roboto Light" w:eastAsia="Roboto Light" w:hAnsi="Roboto Light" w:cs="Roboto Light"/>
          <w:b/>
          <w:bCs/>
          <w:color w:val="404040" w:themeColor="text1" w:themeTint="BF"/>
          <w:sz w:val="20"/>
          <w:szCs w:val="20"/>
        </w:rPr>
        <w:t xml:space="preserve">Machine Learning (ML)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for </w:t>
      </w:r>
      <w:r w:rsidRPr="00745DD3">
        <w:rPr>
          <w:rFonts w:ascii="Roboto Light" w:eastAsia="Roboto Light" w:hAnsi="Roboto Light" w:cs="Roboto Light"/>
          <w:b/>
          <w:bCs/>
          <w:color w:val="404040" w:themeColor="text1" w:themeTint="BF"/>
          <w:sz w:val="20"/>
          <w:szCs w:val="20"/>
        </w:rPr>
        <w:t xml:space="preserve">Anti-Money Laundering (AML)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actionable solutions that enhanced detection and reduced false positives across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validation and quality checks, ensuring that all </w:t>
      </w:r>
      <w:r w:rsidRPr="00745DD3">
        <w:rPr>
          <w:rFonts w:ascii="Roboto Light" w:eastAsia="Roboto Light" w:hAnsi="Roboto Light" w:cs="Roboto Light"/>
          <w:b/>
          <w:bCs/>
          <w:color w:val="404040" w:themeColor="text1" w:themeTint="BF"/>
          <w:sz w:val="20"/>
          <w:szCs w:val="20"/>
        </w:rPr>
        <w:t xml:space="preserve">ML/AI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adhered to regulatory standards and facilitated the compliance review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to identify high-impact use cases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define project scopes, ensuring alignment between technology and business objectives in the context of financial crime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diverse team of analysts and data scientists, fostering an environment of learning and excellence which accelerated project timelines and improved delivery of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dashboards for senior management that provided real-time insights into model performance and compliance outcomes, streamlining governance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for anomaly detection in transaction monitoring workflows, utilizing cutting-edge </w:t>
      </w: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effectiveness in the AML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leadership on emerging technologies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application to risk and compliance frameworks, positioning the company at the forefront of financial crime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reviews of existing models for governance purposes, ensuring adherence to industry best practices and standardizing processes across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production-grade deployment of </w:t>
      </w:r>
      <w:r w:rsidRPr="00745DD3">
        <w:rPr>
          <w:rFonts w:ascii="Roboto Light" w:eastAsia="Roboto Light" w:hAnsi="Roboto Light" w:cs="Roboto Light"/>
          <w:b/>
          <w:bCs/>
          <w:color w:val="404040" w:themeColor="text1" w:themeTint="BF"/>
          <w:sz w:val="20"/>
          <w:szCs w:val="20"/>
        </w:rPr>
        <w:t xml:space="preserve">ML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data features and model outputs were auditable and met business requirements in </w:t>
      </w:r>
      <w:r w:rsidRPr="00745DD3">
        <w:rPr>
          <w:rFonts w:ascii="Roboto Light" w:eastAsia="Roboto Light" w:hAnsi="Roboto Light" w:cs="Roboto Light"/>
          <w:b/>
          <w:bCs/>
          <w:color w:val="404040" w:themeColor="text1" w:themeTint="BF"/>
          <w:sz w:val="20"/>
          <w:szCs w:val="20"/>
        </w:rPr>
        <w:t xml:space="preserve">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regulatory bodies to align processes with </w:t>
      </w:r>
      <w:r w:rsidRPr="00745DD3">
        <w:rPr>
          <w:rFonts w:ascii="Roboto Light" w:eastAsia="Roboto Light" w:hAnsi="Roboto Light" w:cs="Roboto Light"/>
          <w:b/>
          <w:bCs/>
          <w:color w:val="404040" w:themeColor="text1" w:themeTint="BF"/>
          <w:sz w:val="20"/>
          <w:szCs w:val="20"/>
        </w:rPr>
        <w:t xml:space="preserve">AML/KYC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obligations, facilitating effective audits and ensuring compliance throughout technology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human-in-the-loop governance framework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addressing bias mitigation and enhancing safety controls in line with regulatory mandates.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methodology for entity resolution and segmentation using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significantly improving the accuracy of alerts generated by the transaction monitoring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implementing solutions that required input from technology, risk, and compliance teams, culminating in a holistic approach to technology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t>
      </w:r>
      <w:r w:rsidRPr="00745DD3">
        <w:rPr>
          <w:rFonts w:ascii="Roboto Light" w:eastAsia="Roboto Light" w:hAnsi="Roboto Light" w:cs="Roboto Light"/>
          <w:b/>
          <w:bCs/>
          <w:color w:val="404040" w:themeColor="text1" w:themeTint="BF"/>
          <w:sz w:val="20"/>
          <w:szCs w:val="20"/>
        </w:rPr>
        <w:t xml:space="preserve">dashboarding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utilizing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critical data trends and promote data-driven decision-making at the executive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expertise in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scalable analytical solutions that supported </w:t>
      </w:r>
      <w:r w:rsidRPr="00745DD3">
        <w:rPr>
          <w:rFonts w:ascii="Roboto Light" w:eastAsia="Roboto Light" w:hAnsi="Roboto Light" w:cs="Roboto Light"/>
          <w:b/>
          <w:bCs/>
          <w:color w:val="404040" w:themeColor="text1" w:themeTint="BF"/>
          <w:sz w:val="20"/>
          <w:szCs w:val="20"/>
        </w:rPr>
        <w:t xml:space="preserve">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optimizing data storage and processing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scalable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enhancing application performance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participating in sprint planning and retrospectives to continuously improve the development process and adapt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practices in coding standards, which improved software quality and reduced instances of bugs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system integrations, leveraging RESTful API services to communicate between web services and enhance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code reliability, reducing manual testing efforts and expediting project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teamwork with UX/UI designers and product managers to define application features and optimize user satisfaction based on direct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applications for performance bottlenecks and implemented enhancements, ensuring a better user experience through optimized code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engineering processes, ensuring knowledge transfer and supporting new developers in understanding project intricacies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insights on coding patterns and software development principles that fostered a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for deployment across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scalable and secure operations while managing infrastructure as code (IaC).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streamlining the deployment of applications in diverse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