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software development, particularly in web and mobile applications. Extensive expertise in PTC Windchill, Java, and Windchill APIs with proven success in delivering high-quality solutions. Known for strong problem-solving abilities and effective communication skills, bridging the gap between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JSP, JavaScript, HTML5, CSS3, SQL,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Spring Boot, React, Angular, Node.js, PTC Windchill, Microservices,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Oracle, Redis, MariaDB, ELK Stack,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Visual Studio, JIRA, Git,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Terraform, Ansible, Kubernetes, CI/CD, GitHub Actions,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w:t>
      </w:r>
      <w:r w:rsidRPr="00745DD3">
        <w:rPr>
          <w:rFonts w:ascii="Roboto Light" w:eastAsia="Roboto Light" w:hAnsi="Roboto Light" w:cs="Roboto Light"/>
          <w:b/>
          <w:bCs/>
          <w:color w:val="404040" w:themeColor="text1" w:themeTint="BF"/>
          <w:sz w:val="20"/>
          <w:szCs w:val="20"/>
        </w:rPr>
        <w:t xml:space="preserve">PTC 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mentoring junior developers in best practices and ensuring adherence to quality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proposing high-level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designs that significantly improved product development processes and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gap analyses and provided actionable insights on data cleansing and migration strategies, enhancing system performance and ensuring data integrity during transitions to new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lead </w:t>
      </w:r>
      <w:r w:rsidRPr="00745DD3">
        <w:rPr>
          <w:rFonts w:ascii="Roboto Light" w:eastAsia="Roboto Light" w:hAnsi="Roboto Light" w:cs="Roboto Light"/>
          <w:b/>
          <w:bCs/>
          <w:color w:val="404040" w:themeColor="text1" w:themeTint="BF"/>
          <w:sz w:val="20"/>
          <w:szCs w:val="20"/>
        </w:rPr>
        <w:t xml:space="preserve">Windchill Architect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adeptly translating complex technical jargon into actionable business solutions while effectively managing stakeholder expectations in a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upgrades and data migrations from legacy systems, creating comprehensive documentation that supported the ongoing maintenance and modifications of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customizations and integrations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Windchill APIs, achieving high customer satisfaction through tailored solutions that addressed specific client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quality through rigorous testing procedures and established metrics for success, fostering a culture of continuous improvement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facilitating knowledge sharing among team members and contributing to the ongoing enhancement of solutions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insights and recommendations on managing </w:t>
      </w:r>
      <w:r w:rsidRPr="00745DD3">
        <w:rPr>
          <w:rFonts w:ascii="Roboto Light" w:eastAsia="Roboto Light" w:hAnsi="Roboto Light" w:cs="Roboto Light"/>
          <w:b/>
          <w:bCs/>
          <w:color w:val="404040" w:themeColor="text1" w:themeTint="BF"/>
          <w:sz w:val="20"/>
          <w:szCs w:val="20"/>
        </w:rPr>
        <w:t xml:space="preserve">Change Objects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BOMs, Parts, and Documents within the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streamline operations and drive efficiency, enhancing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complemented these efforts with extensive work in frontend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and capture project requirements, translating them into functional specifications that guided development and ensured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software solutions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databases, resulting in improved scalability and maintainability of applications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 culture of collaboration and knowledge sharing while enhancing code quality and promoting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methodology to manage multiple projects concurrently, demonstrating strong organizational and prioritization skills while adapting to changing project timelines and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testing and documentation to support future maintenance and enhancements of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