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Expertise in technical course development and LMS administration to drive learner engagement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Angular, Django, Flask, Node.js, Express.js, Articulate Storyline,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Learning Management Systems (LMS):</w:t>
      </w:r>
      <w:r w:rsidRPr="00745DD3">
        <w:rPr>
          <w:rFonts w:ascii="Roboto Light" w:eastAsia="Roboto Light" w:hAnsi="Roboto Light" w:cs="Roboto Light"/>
          <w:color w:val="404040" w:themeColor="text1" w:themeTint="BF"/>
          <w:sz w:val="20"/>
          <w:szCs w:val="20"/>
        </w:rPr>
        <w:t xml:space="preserve"> Moodle, Blackboard, TalentLMS, Canvas, SCORM, xAPI, SAP Litmos, Docebo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Development Tools:</w:t>
      </w:r>
      <w:r w:rsidRPr="00745DD3">
        <w:rPr>
          <w:rFonts w:ascii="Roboto Light" w:eastAsia="Roboto Light" w:hAnsi="Roboto Light" w:cs="Roboto Light"/>
          <w:color w:val="404040" w:themeColor="text1" w:themeTint="BF"/>
          <w:sz w:val="20"/>
          <w:szCs w:val="20"/>
        </w:rPr>
        <w:t xml:space="preserve"> Camtasia, Adobe Captivate, Articulate Rise, Lectora, GIMP, Canva, InVision, Vyond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AI:</w:t>
      </w:r>
      <w:r w:rsidRPr="00745DD3">
        <w:rPr>
          <w:rFonts w:ascii="Roboto Light" w:eastAsia="Roboto Light" w:hAnsi="Roboto Light" w:cs="Roboto Light"/>
          <w:color w:val="404040" w:themeColor="text1" w:themeTint="BF"/>
          <w:sz w:val="20"/>
          <w:szCs w:val="20"/>
        </w:rPr>
        <w:t xml:space="preserve"> TensorFlow, Keras, Power BI, Tableau, Google Cloud AI, Amazon SageMaker, Azure ML,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eLearning as well as certification programs on advanced technical topics, leveraging the latest AI technologies to engage and enhance the learning experience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tools to streamline content development processes, enabling rapid creation of interactive simulations and adaptive learning experiences tailored to specific user needs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workflows involving </w:t>
      </w:r>
      <w:r w:rsidRPr="00745DD3">
        <w:rPr>
          <w:rFonts w:ascii="Roboto Light" w:eastAsia="Roboto Light" w:hAnsi="Roboto Light" w:cs="Roboto Light"/>
          <w:b/>
          <w:bCs/>
          <w:color w:val="404040" w:themeColor="text1" w:themeTint="BF"/>
          <w:sz w:val="20"/>
          <w:szCs w:val="20"/>
        </w:rPr>
        <w:t xml:space="preserve">LangGraph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clear, instructional materials that facilitate learner comprehension and retention of complex techniques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LMS administration with a focus on user management, analytics, integrations, while consistently optimizing the system for improved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(SMEs) to gather insights and align educational content with emerging technologies, ensuring materials reflect current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learning needs assessments to identify gaps and define success metrics essential for tracking the impact of learning initiatives on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live training events that included webinars and virtual workshops, managing logistics and content delivery to enhance customer enablement throughout each session.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usability standards while ensuring that all training materials adhered to </w:t>
      </w:r>
      <w:r w:rsidRPr="00745DD3">
        <w:rPr>
          <w:rFonts w:ascii="Roboto Light" w:eastAsia="Roboto Light" w:hAnsi="Roboto Light" w:cs="Roboto Light"/>
          <w:b/>
          <w:bCs/>
          <w:color w:val="404040" w:themeColor="text1" w:themeTint="BF"/>
          <w:sz w:val="20"/>
          <w:szCs w:val="20"/>
        </w:rPr>
        <w:t xml:space="preserve">SCORM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for maximum accessibility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management activities that fostered collaboration and stakeholder engagement, adapting strategies based on feedback and evolving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authoring tools, including </w:t>
      </w:r>
      <w:r w:rsidRPr="00745DD3">
        <w:rPr>
          <w:rFonts w:ascii="Roboto Light" w:eastAsia="Roboto Light" w:hAnsi="Roboto Light" w:cs="Roboto Light"/>
          <w:b/>
          <w:bCs/>
          <w:color w:val="404040" w:themeColor="text1" w:themeTint="BF"/>
          <w:sz w:val="20"/>
          <w:szCs w:val="20"/>
        </w:rPr>
        <w:t xml:space="preserve">Articulate Storyline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Camtasia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compelling and effective instructional videos that support diverse learning styles.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quality assurance initiatives to continuously update existing courses in line with trend analysis and learner feedback, increasing material relevancy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hands-on labs and simulations focused on AI/ML use cases, providing learners practical applications of theoretical concepts for enhanced understanding and skills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iterative design cycles with SMEs, supporting ongoing content reviews and adjustments to optimize instructional quality and effectiveness based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learning modules with interactive features, promoting active engagement and deeper learning comprehension.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to internal teams on best practices in technical training methodologies, successfully driving initiatives that promote learner-centric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for diverse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Agile methodologies and best practices to enhance project deliverables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interfaces that significantly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backend services with front-end applications, employing RESTful APIs and ensuring seamless data flow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mentoring to junior developers, fostering a culture of continuous learning and improvement focused on agile development practices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UI/UX design workshops to conceptualize and prototype new software features tailored to meet user needs and enhance overall product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ensuring data integrity and optimizing performance across multiple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 integrity and managing contributions from multiple developers 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activities, identifying key issues within software applications and developing targeted solutions to resolve challenges swiftly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architectures, promoting best practices in coding and software design to accelerate overall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feedback, ensuring software solutions align with client expectations and business objectives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protocols to assure quality and functionality prior to deployment, utilizing testing frameworks to validate software behavior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software architecture, creating comprehensive guides that support ongoing maintenance and future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