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sourcer with over 11 years of experience in software development and recruiting, specializing in web and mobile applications. Proven expertise in building engaged talent pipelines for high-growth startups, focused on identifying top technical talent across diverse domains. Excellent communication and relationship-building skills, making significant impacts within collaborative teams in complex environments, adept at utilizing data-driven approaches to optimize sourcing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Java, Ruby, SQL,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Spring, ASP.NET,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Google Cloud,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OpenCV, Natural Language Processing (NLP), DataFrames (Pandas),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SQLite,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sourcing strategies for highly specialized technical roles, ensuring alignment with hiring managers to optimize pipelines for software engineers and machine learning positions tailored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sourcing systems that enabled efficient search strategies, outreach sequences, and talent mapping for diverse roles, significantly improving candidate engagement and response rates throughout the recruitment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partnerships with engineering leadership to calibrate role profiles and iterate pipelines based on real-time feedback, balancing proactive sourcing with data-driven adjustments to meet hiring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(SME) in sourcing within the recruitment organization, sharing best practices and contributing enablement resources that improved overall recruiting performance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candidate-centric approach that prioritized high-quality interactions, creating a memorable experience for candidates while strengthening Ambience’s brand equity in the competitive tech talent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utilized various outreach channels, leveraging industry networks and digital platforms to drive engagement and attract high-signal candidates to the recruitment funnel.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Invented creative outreach experiments that resulted in higher candidate response rates, demonstrating adaptability and strategic thinking in the ever-evolving landscape of technical recruitment.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sourcing culture by building practices that emphasized diversity and inclusion, ensuring all candidate experiences were high-touch and responsive to individual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and data dashboards to assess sourcing efficacy, constantly refining strategies based on insights gleaned from candidate interactions and feedback to maximize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market research initiatives to map talent landscapes, ensuring that sourcing strategies were aligned with industry trends and technological advancements relevant to AI and healthcare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sourcing processes, enabling consistency across the recruitment team and fostering a shared understanding of the sourcing approach and methodologies used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led training sessions for recruitment team members, enhancing their capabilities in sourcing for highly technical positions through the sharing of innovative techniques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sourcing tools and technology into the recruitment workflow, ensuring that the team leveraged the latest resources to identify and attract high-potential candidates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strategic relationships with external partners, engaging in community-relevant events to both promote Ambience and build a robust pipeline of talent within the technology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internal and external recruitment standards, maintaining best practices in candidate engagement and consistently reflecting Ambience’s mission and values throughout the recruiting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software solutions to enhance clinical data management,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workflow processes and improve user experiences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seamless data exchange between backend systems and client applications, ensuring high performance, security, and reliability in line with healthcare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models to analyze patient data,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that enhanced decision-making processes for healthcare providers.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and experiences by collaborating with design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prototyping, and conducting usability testing to ensure alignment with user needs and preferences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improving deployment efficiencies and simplifying application management across development, testing, and production environments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translate complex technical requirements into practical solutions, applying Agile methodologies to ensure timely project delivery and alignment with stakeholder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into the development lifecycle,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automate testing and deployment processes, thus promoting a culture of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fostering a culture of best practices and shared learning within the engineering team, ensuring code quality and adherence to organizational coding standards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applications, evaluating industry trends to support the organization’s goal of maintaining a competitive edge in medical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focused on improving the accessibility and reliability of healthcare applications by applying best practices in software design and engaging in performance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in the application of software design principles, coding practices, and effective problem-solving techniques to enhance their professional development and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systems, ensuring team members could easily understand architecture and modules for effective onboarding and system sustainability during code handovers.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