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high-impact web and mobile applications. Proven expertise in full stack engineering, leading projects that utilize AI/ML systems and advocating for best engineering practices. Skilled in React, Node.js, and PostgreSQL, committed to advancing civic engagement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WebSocket,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systems for outreach efforts on various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match community campaigns with influencers, ensuring high availability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define technical strategies that addressed evolving project needs and ensured alignment within diverse stakeholders through effective communication and project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by providing design feedback, coaching sessions, and fostering an environment of collaboration and trust, significantly raising the technical expertise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engineering practices by utilizing modern CI/CD pipelines and ensuring robust testing protocols that safeguarded incremental improvements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real-time data processing, enhancing user interaction, and ensuring reliable access to campaign resources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prioritize functionality while balancing technical feasibility, thereby delivering impactful, user-centered solutions that promote civic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systems, staying ahead of industry trends and providing innovative solutions that uphold the organization's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learning through workshops that covered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fostering an inclusive environment that cultivated diversity in perspectives and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that encouraged a proactive approach to system resilience and continuous improvement in response to incidents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coding standards and quality, ensuring a reliable codebase that supports extensive future feature enhancements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improving transparency and productivity while fostering a collective team responsibility for sprint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production-grade APIs that facilitated seamless integrations with various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and deploying resilient, large-scale web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efficient retrieval and processing of data, thereby improving application responsiveness and user satisfaction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while ensuring robust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engineering standards that improved system architecture, reliability, and maintainability across all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between frontend and backend services, resulting in faster data retrieval times that optimized user interactions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serverless architectures that reduced infrastructure overhead and improved cost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solutions to automate routine tasks and improve productivity across engineering teams, resulting in measurable time savings and a focus on higher-value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