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backend development, specializing in Python, SQL, and system architecture. Proven ability to design robust data models and integrate systems to support complex laboratory workflows and healthcare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 Bash,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Pandas, NumPy, SQLAlchemy, Celery,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SQLite, Oracle,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gRPC, Swagger, Postman, OAuth2, JWT,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pytest, Postman, Selenium, Jest, TDD,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components for laboratory software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regulatory standards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scalable data models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access to laboratory and clinical data essential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enterprise SaaS applications such as CRM solutions with custom APIs, enhancing data interoperability and user experience across commercial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scientists and technical leaders to translate complex laboratory processes into effective,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services, ensuring clarity and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communication between various software components and external systems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performance tuning and optimization of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backend responsiveness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software engineering within the team, fostering a culture of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team sprint planning, reviews,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 for data visualization and reporting, improving access to critical laboratory data for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backend services and reducing regression bugs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systems to cloud-based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scalability and ease of management for laboratory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coding standards and practices, aiding in their professional development and improving team competency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define software requirements and ensure alignment with laboratory and business objectives, promoting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assessments and implemented role-based authentication for APIs, fortifying the system against unauthorized access and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deployment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cycle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web services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various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transformation of business requirements into scalable software architecture, contributing significantly to the system design documentation and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complete software lifecycle from requirements gathering to deployment and maintenance, refining processes for enhanced efficiency and effectiveness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capabilities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the transformation of laboratory data into meaningful insights during treatment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ensure seamless integration with backend services, optimizing user interactions and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optimization and design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response times and system reliability for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executed comprehensive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stable release cycle and high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processes, including daily stand-ups and sprint reviews, fostering a strong team culture focused on communication and delivery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legacy system migrations, improving system functionality and maintainability while supporting modernization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third-party integrations, enabling smooth data transfer and consistency across business applications, meeting healthcare compliance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version control to manage code effectively across multiple branches, facilitating smooth transitions between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stakeholders to align software solutions with business objectives, crafting solutions that directly addressed client and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